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2195"/>
        <w:gridCol w:w="3891"/>
      </w:tblGrid>
      <w:tr w:rsidR="00FB18F5" w:rsidRPr="00FB18F5" w14:paraId="444CE71C" w14:textId="77777777">
        <w:tblPrEx>
          <w:tblCellMar>
            <w:top w:w="0" w:type="dxa"/>
            <w:bottom w:w="0" w:type="dxa"/>
          </w:tblCellMar>
        </w:tblPrEx>
        <w:trPr>
          <w:cantSplit/>
          <w:trHeight w:val="425"/>
        </w:trPr>
        <w:tc>
          <w:tcPr>
            <w:tcW w:w="9129" w:type="dxa"/>
            <w:gridSpan w:val="3"/>
            <w:shd w:val="clear" w:color="auto" w:fill="FFFFFF"/>
          </w:tcPr>
          <w:p w14:paraId="525FE7D0" w14:textId="77777777" w:rsidR="00FB18F5" w:rsidRPr="00FB18F5" w:rsidRDefault="0092421D" w:rsidP="00FB18F5">
            <w:pPr>
              <w:pStyle w:val="Header"/>
              <w:tabs>
                <w:tab w:val="left" w:pos="2790"/>
              </w:tabs>
              <w:spacing w:before="60" w:after="60"/>
              <w:rPr>
                <w:rFonts w:ascii="Arial" w:hAnsi="Arial" w:cs="Arial"/>
                <w:b/>
                <w:sz w:val="24"/>
                <w:szCs w:val="24"/>
              </w:rPr>
            </w:pPr>
            <w:bookmarkStart w:id="0" w:name="_GoBack"/>
            <w:bookmarkEnd w:id="0"/>
            <w:r>
              <w:rPr>
                <w:rFonts w:ascii="Arial" w:hAnsi="Arial" w:cs="Arial"/>
                <w:b/>
                <w:sz w:val="24"/>
                <w:szCs w:val="24"/>
              </w:rPr>
              <w:t>Policy on sexual harassment &amp; bullying of students in the Institute</w:t>
            </w:r>
          </w:p>
        </w:tc>
      </w:tr>
      <w:tr w:rsidR="00FB18F5" w14:paraId="0A55B209" w14:textId="77777777">
        <w:tblPrEx>
          <w:tblCellMar>
            <w:top w:w="0" w:type="dxa"/>
            <w:bottom w:w="0" w:type="dxa"/>
          </w:tblCellMar>
        </w:tblPrEx>
        <w:trPr>
          <w:cantSplit/>
          <w:trHeight w:val="425"/>
        </w:trPr>
        <w:tc>
          <w:tcPr>
            <w:tcW w:w="3043" w:type="dxa"/>
            <w:vMerge w:val="restart"/>
            <w:shd w:val="clear" w:color="auto" w:fill="FFFFFF"/>
          </w:tcPr>
          <w:p w14:paraId="554B0120" w14:textId="549038EC" w:rsidR="00FB18F5" w:rsidRDefault="00F960AC" w:rsidP="00FB18F5">
            <w:pPr>
              <w:pStyle w:val="Header"/>
              <w:tabs>
                <w:tab w:val="left" w:pos="2790"/>
              </w:tabs>
              <w:rPr>
                <w:rFonts w:ascii="Verdana" w:hAnsi="Verdana"/>
                <w:b/>
              </w:rPr>
            </w:pPr>
            <w:r>
              <w:rPr>
                <w:rFonts w:ascii="Verdana" w:hAnsi="Verdana"/>
                <w:b/>
                <w:noProof/>
                <w:lang w:val="en-IE"/>
              </w:rPr>
              <w:drawing>
                <wp:inline distT="0" distB="0" distL="0" distR="0" wp14:anchorId="03C38632" wp14:editId="7B966AE8">
                  <wp:extent cx="1790700" cy="866775"/>
                  <wp:effectExtent l="0" t="0" r="0" b="0"/>
                  <wp:docPr id="1" name="Picture 1" descr="TU Dubli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 Dublin 20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866775"/>
                          </a:xfrm>
                          <a:prstGeom prst="rect">
                            <a:avLst/>
                          </a:prstGeom>
                          <a:noFill/>
                          <a:ln>
                            <a:noFill/>
                          </a:ln>
                        </pic:spPr>
                      </pic:pic>
                    </a:graphicData>
                  </a:graphic>
                </wp:inline>
              </w:drawing>
            </w:r>
          </w:p>
        </w:tc>
        <w:tc>
          <w:tcPr>
            <w:tcW w:w="2195" w:type="dxa"/>
            <w:vMerge w:val="restart"/>
            <w:shd w:val="clear" w:color="auto" w:fill="FFFFFF"/>
          </w:tcPr>
          <w:p w14:paraId="39770E4E" w14:textId="77777777" w:rsidR="00FB18F5" w:rsidRDefault="00A53C62" w:rsidP="00FB18F5">
            <w:pPr>
              <w:pStyle w:val="Header"/>
              <w:tabs>
                <w:tab w:val="left" w:pos="2790"/>
              </w:tabs>
              <w:spacing w:before="600"/>
              <w:jc w:val="center"/>
              <w:rPr>
                <w:rFonts w:ascii="Verdana" w:hAnsi="Verdana"/>
                <w:sz w:val="28"/>
              </w:rPr>
            </w:pPr>
            <w:r>
              <w:rPr>
                <w:rFonts w:ascii="Verdana" w:hAnsi="Verdana"/>
                <w:sz w:val="28"/>
              </w:rPr>
              <w:t>3SS05</w:t>
            </w:r>
            <w:r w:rsidR="00FB18F5">
              <w:rPr>
                <w:rFonts w:ascii="Verdana" w:hAnsi="Verdana"/>
                <w:sz w:val="28"/>
              </w:rPr>
              <w:t xml:space="preserve"> </w:t>
            </w:r>
          </w:p>
        </w:tc>
        <w:tc>
          <w:tcPr>
            <w:tcW w:w="3891" w:type="dxa"/>
            <w:shd w:val="clear" w:color="auto" w:fill="FFFFFF"/>
          </w:tcPr>
          <w:p w14:paraId="276C8C78" w14:textId="77777777" w:rsidR="00FB18F5" w:rsidRDefault="00FB18F5" w:rsidP="00FB18F5">
            <w:pPr>
              <w:pStyle w:val="Header"/>
              <w:tabs>
                <w:tab w:val="left" w:pos="2790"/>
              </w:tabs>
              <w:spacing w:before="60" w:after="60"/>
              <w:rPr>
                <w:rFonts w:ascii="Verdana" w:hAnsi="Verdana"/>
                <w:b/>
              </w:rPr>
            </w:pPr>
            <w:r>
              <w:rPr>
                <w:rFonts w:ascii="Verdana" w:hAnsi="Verdana"/>
                <w:sz w:val="16"/>
              </w:rPr>
              <w:t xml:space="preserve">File Location: </w:t>
            </w:r>
          </w:p>
        </w:tc>
      </w:tr>
      <w:tr w:rsidR="00FB18F5" w14:paraId="0D148E46" w14:textId="77777777">
        <w:tblPrEx>
          <w:tblCellMar>
            <w:top w:w="0" w:type="dxa"/>
            <w:bottom w:w="0" w:type="dxa"/>
          </w:tblCellMar>
        </w:tblPrEx>
        <w:trPr>
          <w:cantSplit/>
          <w:trHeight w:val="425"/>
        </w:trPr>
        <w:tc>
          <w:tcPr>
            <w:tcW w:w="3043" w:type="dxa"/>
            <w:vMerge/>
          </w:tcPr>
          <w:p w14:paraId="149BBFF7" w14:textId="77777777" w:rsidR="00FB18F5" w:rsidRDefault="00FB18F5" w:rsidP="00FB18F5">
            <w:pPr>
              <w:pStyle w:val="Header"/>
              <w:tabs>
                <w:tab w:val="left" w:pos="2790"/>
              </w:tabs>
              <w:rPr>
                <w:rFonts w:ascii="Verdana" w:hAnsi="Verdana"/>
              </w:rPr>
            </w:pPr>
          </w:p>
        </w:tc>
        <w:tc>
          <w:tcPr>
            <w:tcW w:w="2195" w:type="dxa"/>
            <w:vMerge/>
          </w:tcPr>
          <w:p w14:paraId="36201F27" w14:textId="77777777" w:rsidR="00FB18F5" w:rsidRDefault="00FB18F5" w:rsidP="00FB18F5">
            <w:pPr>
              <w:pStyle w:val="Header"/>
              <w:tabs>
                <w:tab w:val="left" w:pos="2790"/>
              </w:tabs>
              <w:rPr>
                <w:rFonts w:ascii="Verdana" w:hAnsi="Verdana"/>
                <w:b/>
              </w:rPr>
            </w:pPr>
          </w:p>
        </w:tc>
        <w:tc>
          <w:tcPr>
            <w:tcW w:w="3891" w:type="dxa"/>
            <w:shd w:val="clear" w:color="auto" w:fill="FFFFFF"/>
          </w:tcPr>
          <w:p w14:paraId="0957EC65" w14:textId="77777777" w:rsidR="00FB18F5" w:rsidRDefault="00FB18F5" w:rsidP="00FB18F5">
            <w:pPr>
              <w:pStyle w:val="Header"/>
              <w:tabs>
                <w:tab w:val="left" w:pos="2790"/>
              </w:tabs>
              <w:spacing w:before="60" w:after="60"/>
              <w:rPr>
                <w:rFonts w:ascii="Verdana" w:hAnsi="Verdana"/>
                <w:sz w:val="16"/>
              </w:rPr>
            </w:pPr>
            <w:r>
              <w:rPr>
                <w:rFonts w:ascii="Verdana" w:hAnsi="Verdana"/>
                <w:sz w:val="16"/>
              </w:rPr>
              <w:t xml:space="preserve">Current Revision:  </w:t>
            </w:r>
            <w:r w:rsidR="00F64C42">
              <w:rPr>
                <w:rFonts w:ascii="Verdana" w:hAnsi="Verdana"/>
                <w:sz w:val="16"/>
              </w:rPr>
              <w:t>03</w:t>
            </w:r>
          </w:p>
        </w:tc>
      </w:tr>
      <w:tr w:rsidR="00FB18F5" w:rsidRPr="00240F40" w14:paraId="1F23319E" w14:textId="77777777">
        <w:tblPrEx>
          <w:tblCellMar>
            <w:top w:w="0" w:type="dxa"/>
            <w:bottom w:w="0" w:type="dxa"/>
          </w:tblCellMar>
        </w:tblPrEx>
        <w:trPr>
          <w:cantSplit/>
          <w:trHeight w:val="140"/>
        </w:trPr>
        <w:tc>
          <w:tcPr>
            <w:tcW w:w="3043" w:type="dxa"/>
            <w:vMerge/>
          </w:tcPr>
          <w:p w14:paraId="68A2D404" w14:textId="77777777" w:rsidR="00FB18F5" w:rsidRDefault="00FB18F5" w:rsidP="00FB18F5">
            <w:pPr>
              <w:pStyle w:val="Header"/>
              <w:tabs>
                <w:tab w:val="left" w:pos="2790"/>
              </w:tabs>
              <w:rPr>
                <w:rFonts w:ascii="Verdana" w:hAnsi="Verdana"/>
              </w:rPr>
            </w:pPr>
          </w:p>
        </w:tc>
        <w:tc>
          <w:tcPr>
            <w:tcW w:w="2195" w:type="dxa"/>
            <w:vMerge/>
          </w:tcPr>
          <w:p w14:paraId="49AC8D52" w14:textId="77777777" w:rsidR="00FB18F5" w:rsidRDefault="00FB18F5" w:rsidP="00FB18F5">
            <w:pPr>
              <w:pStyle w:val="Header"/>
              <w:tabs>
                <w:tab w:val="left" w:pos="2790"/>
              </w:tabs>
              <w:rPr>
                <w:rFonts w:ascii="Verdana" w:hAnsi="Verdana"/>
                <w:b/>
              </w:rPr>
            </w:pPr>
          </w:p>
        </w:tc>
        <w:tc>
          <w:tcPr>
            <w:tcW w:w="3891" w:type="dxa"/>
            <w:shd w:val="clear" w:color="auto" w:fill="FFFFFF"/>
          </w:tcPr>
          <w:p w14:paraId="7BB663E5" w14:textId="77777777" w:rsidR="00FB18F5" w:rsidRPr="00240F40" w:rsidRDefault="00FB18F5" w:rsidP="00FB18F5">
            <w:pPr>
              <w:rPr>
                <w:b/>
                <w:sz w:val="24"/>
              </w:rPr>
            </w:pPr>
            <w:r w:rsidRPr="00A46A71">
              <w:rPr>
                <w:rFonts w:ascii="Verdana" w:hAnsi="Verdana"/>
                <w:sz w:val="16"/>
                <w:szCs w:val="16"/>
              </w:rPr>
              <w:t>Approved by:</w:t>
            </w:r>
            <w:r w:rsidR="00A53C62">
              <w:rPr>
                <w:rFonts w:ascii="Verdana" w:hAnsi="Verdana"/>
                <w:sz w:val="16"/>
                <w:szCs w:val="16"/>
              </w:rPr>
              <w:t xml:space="preserve">  </w:t>
            </w:r>
            <w:smartTag w:uri="urn:schemas-microsoft-com:office:smarttags" w:element="PersonName">
              <w:r w:rsidR="00A53C62">
                <w:rPr>
                  <w:rFonts w:ascii="Verdana" w:hAnsi="Verdana"/>
                  <w:sz w:val="16"/>
                  <w:szCs w:val="16"/>
                </w:rPr>
                <w:t>TMG</w:t>
              </w:r>
            </w:smartTag>
            <w:r w:rsidR="00237BF2">
              <w:rPr>
                <w:rFonts w:ascii="Verdana" w:hAnsi="Verdana"/>
                <w:sz w:val="16"/>
                <w:szCs w:val="16"/>
              </w:rPr>
              <w:t xml:space="preserve"> </w:t>
            </w:r>
            <w:smartTag w:uri="urn:schemas-microsoft-com:office:smarttags" w:element="date">
              <w:smartTagPr>
                <w:attr w:name="Month" w:val="5"/>
                <w:attr w:name="Day" w:val="29"/>
                <w:attr w:name="Year" w:val="2001"/>
              </w:smartTagPr>
              <w:r w:rsidR="00237BF2">
                <w:rPr>
                  <w:rFonts w:ascii="Verdana" w:hAnsi="Verdana"/>
                  <w:sz w:val="16"/>
                </w:rPr>
                <w:t>29 May 2001</w:t>
              </w:r>
            </w:smartTag>
          </w:p>
        </w:tc>
      </w:tr>
      <w:tr w:rsidR="00FB18F5" w14:paraId="19AF9C30" w14:textId="77777777">
        <w:tblPrEx>
          <w:tblCellMar>
            <w:top w:w="0" w:type="dxa"/>
            <w:bottom w:w="0" w:type="dxa"/>
          </w:tblCellMar>
        </w:tblPrEx>
        <w:trPr>
          <w:cantSplit/>
          <w:trHeight w:val="140"/>
        </w:trPr>
        <w:tc>
          <w:tcPr>
            <w:tcW w:w="3043" w:type="dxa"/>
            <w:vMerge/>
          </w:tcPr>
          <w:p w14:paraId="243343C1" w14:textId="77777777" w:rsidR="00FB18F5" w:rsidRDefault="00FB18F5" w:rsidP="00FB18F5">
            <w:pPr>
              <w:pStyle w:val="Header"/>
              <w:tabs>
                <w:tab w:val="left" w:pos="2790"/>
              </w:tabs>
              <w:rPr>
                <w:rFonts w:ascii="Verdana" w:hAnsi="Verdana"/>
              </w:rPr>
            </w:pPr>
          </w:p>
        </w:tc>
        <w:tc>
          <w:tcPr>
            <w:tcW w:w="2195" w:type="dxa"/>
            <w:vMerge/>
          </w:tcPr>
          <w:p w14:paraId="5DBB1648" w14:textId="77777777" w:rsidR="00FB18F5" w:rsidRDefault="00FB18F5" w:rsidP="00FB18F5">
            <w:pPr>
              <w:pStyle w:val="Header"/>
              <w:tabs>
                <w:tab w:val="left" w:pos="2790"/>
              </w:tabs>
              <w:rPr>
                <w:rFonts w:ascii="Verdana" w:hAnsi="Verdana"/>
                <w:b/>
              </w:rPr>
            </w:pPr>
          </w:p>
        </w:tc>
        <w:tc>
          <w:tcPr>
            <w:tcW w:w="3891" w:type="dxa"/>
            <w:shd w:val="clear" w:color="auto" w:fill="FFFFFF"/>
          </w:tcPr>
          <w:p w14:paraId="6D52B9D2" w14:textId="77777777" w:rsidR="00FB18F5" w:rsidRDefault="00FB18F5" w:rsidP="00FB18F5">
            <w:pPr>
              <w:pStyle w:val="Header"/>
              <w:tabs>
                <w:tab w:val="left" w:pos="2790"/>
              </w:tabs>
              <w:spacing w:before="60" w:after="60"/>
              <w:rPr>
                <w:rFonts w:ascii="Verdana" w:hAnsi="Verdana"/>
                <w:sz w:val="16"/>
              </w:rPr>
            </w:pPr>
            <w:r>
              <w:rPr>
                <w:rFonts w:ascii="Verdana" w:hAnsi="Verdana"/>
                <w:sz w:val="16"/>
              </w:rPr>
              <w:t xml:space="preserve">Document Owner: </w:t>
            </w:r>
            <w:r w:rsidR="00A53C62">
              <w:rPr>
                <w:rFonts w:ascii="Verdana" w:hAnsi="Verdana"/>
                <w:sz w:val="16"/>
              </w:rPr>
              <w:t>Registrar</w:t>
            </w:r>
          </w:p>
        </w:tc>
      </w:tr>
      <w:tr w:rsidR="00FB18F5" w14:paraId="0B2C59D5" w14:textId="77777777">
        <w:tblPrEx>
          <w:tblCellMar>
            <w:top w:w="0" w:type="dxa"/>
            <w:bottom w:w="0" w:type="dxa"/>
          </w:tblCellMar>
        </w:tblPrEx>
        <w:trPr>
          <w:cantSplit/>
          <w:trHeight w:val="140"/>
        </w:trPr>
        <w:tc>
          <w:tcPr>
            <w:tcW w:w="3043" w:type="dxa"/>
            <w:vMerge/>
          </w:tcPr>
          <w:p w14:paraId="01078A53" w14:textId="77777777" w:rsidR="00FB18F5" w:rsidRDefault="00FB18F5" w:rsidP="00FB18F5">
            <w:pPr>
              <w:pStyle w:val="Header"/>
              <w:tabs>
                <w:tab w:val="left" w:pos="2790"/>
              </w:tabs>
              <w:rPr>
                <w:rFonts w:ascii="Verdana" w:hAnsi="Verdana"/>
              </w:rPr>
            </w:pPr>
          </w:p>
        </w:tc>
        <w:tc>
          <w:tcPr>
            <w:tcW w:w="2195" w:type="dxa"/>
            <w:shd w:val="clear" w:color="auto" w:fill="FFFFFF"/>
          </w:tcPr>
          <w:p w14:paraId="19523E10" w14:textId="77777777" w:rsidR="00FB18F5" w:rsidRDefault="00A53C62" w:rsidP="00FB18F5">
            <w:pPr>
              <w:pStyle w:val="Header"/>
              <w:tabs>
                <w:tab w:val="left" w:pos="2790"/>
              </w:tabs>
              <w:spacing w:before="60" w:after="60"/>
              <w:rPr>
                <w:rFonts w:ascii="Verdana" w:hAnsi="Verdana"/>
                <w:sz w:val="18"/>
              </w:rPr>
            </w:pPr>
            <w:r>
              <w:rPr>
                <w:rFonts w:ascii="Verdana" w:hAnsi="Verdana"/>
                <w:sz w:val="18"/>
              </w:rPr>
              <w:t>3SS05.0</w:t>
            </w:r>
            <w:r w:rsidR="00F64C42">
              <w:rPr>
                <w:rFonts w:ascii="Verdana" w:hAnsi="Verdana"/>
                <w:sz w:val="18"/>
              </w:rPr>
              <w:t>3</w:t>
            </w:r>
          </w:p>
        </w:tc>
        <w:tc>
          <w:tcPr>
            <w:tcW w:w="3891" w:type="dxa"/>
            <w:shd w:val="clear" w:color="auto" w:fill="FFFFFF"/>
          </w:tcPr>
          <w:p w14:paraId="0323B03A" w14:textId="77777777" w:rsidR="00FB18F5" w:rsidRDefault="006C64AE" w:rsidP="00FB18F5">
            <w:pPr>
              <w:pStyle w:val="Header"/>
              <w:tabs>
                <w:tab w:val="left" w:pos="2790"/>
              </w:tabs>
              <w:spacing w:before="60" w:after="60"/>
              <w:rPr>
                <w:rFonts w:ascii="Verdana" w:hAnsi="Verdana"/>
                <w:sz w:val="16"/>
              </w:rPr>
            </w:pPr>
            <w:r>
              <w:rPr>
                <w:rFonts w:ascii="Verdana" w:hAnsi="Verdana"/>
                <w:sz w:val="16"/>
              </w:rPr>
              <w:t>Document Level:</w:t>
            </w:r>
            <w:r w:rsidR="00A53C62">
              <w:rPr>
                <w:rFonts w:ascii="Verdana" w:hAnsi="Verdana"/>
                <w:sz w:val="16"/>
              </w:rPr>
              <w:t xml:space="preserve">  3</w:t>
            </w:r>
          </w:p>
        </w:tc>
      </w:tr>
    </w:tbl>
    <w:p w14:paraId="3F7EF76B" w14:textId="77777777" w:rsidR="004C27E9" w:rsidRDefault="004C27E9" w:rsidP="00240F40">
      <w:pPr>
        <w:rPr>
          <w:b/>
          <w:sz w:val="24"/>
        </w:rPr>
      </w:pPr>
    </w:p>
    <w:p w14:paraId="04E68B16" w14:textId="77777777" w:rsidR="00240F40" w:rsidRDefault="00240F40" w:rsidP="00240F40">
      <w:pPr>
        <w:rPr>
          <w:b/>
          <w:sz w:val="24"/>
        </w:rPr>
      </w:pPr>
    </w:p>
    <w:p w14:paraId="1B7274F4" w14:textId="77777777" w:rsidR="00240F40" w:rsidRDefault="00240F40" w:rsidP="00240F40">
      <w:pPr>
        <w:rPr>
          <w:b/>
          <w:sz w:val="24"/>
        </w:rPr>
      </w:pPr>
    </w:p>
    <w:p w14:paraId="10FD83B1" w14:textId="77777777" w:rsidR="00240F40" w:rsidRDefault="00240F40" w:rsidP="00240F40">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40F40" w:rsidRPr="008F0BAC" w14:paraId="5E0FF8FB" w14:textId="77777777" w:rsidTr="008F0BAC">
        <w:tc>
          <w:tcPr>
            <w:tcW w:w="8856" w:type="dxa"/>
            <w:tcBorders>
              <w:top w:val="nil"/>
              <w:left w:val="nil"/>
              <w:bottom w:val="nil"/>
              <w:right w:val="nil"/>
            </w:tcBorders>
            <w:shd w:val="clear" w:color="auto" w:fill="auto"/>
          </w:tcPr>
          <w:p w14:paraId="68B1E8FA" w14:textId="77777777" w:rsidR="00240F40" w:rsidRPr="008F0BAC" w:rsidRDefault="00A53C62" w:rsidP="008F0BAC">
            <w:pPr>
              <w:jc w:val="center"/>
              <w:rPr>
                <w:rFonts w:ascii="Arial" w:hAnsi="Arial" w:cs="Arial"/>
                <w:b/>
                <w:sz w:val="36"/>
                <w:szCs w:val="36"/>
              </w:rPr>
            </w:pPr>
            <w:r w:rsidRPr="008F0BAC">
              <w:rPr>
                <w:rFonts w:ascii="Arial" w:hAnsi="Arial" w:cs="Arial"/>
                <w:b/>
                <w:sz w:val="36"/>
                <w:szCs w:val="36"/>
              </w:rPr>
              <w:t>Policy on sexual harassment &amp; bullying of students in the Institute</w:t>
            </w:r>
          </w:p>
          <w:p w14:paraId="0C43AA32" w14:textId="77777777" w:rsidR="00240F40" w:rsidRPr="008F0BAC" w:rsidRDefault="00240F40" w:rsidP="008F0BAC">
            <w:pPr>
              <w:jc w:val="center"/>
              <w:rPr>
                <w:rFonts w:ascii="Arial" w:hAnsi="Arial" w:cs="Arial"/>
                <w:b/>
                <w:sz w:val="40"/>
                <w:szCs w:val="40"/>
              </w:rPr>
            </w:pPr>
          </w:p>
          <w:p w14:paraId="1AE4FECF" w14:textId="77777777" w:rsidR="00240F40" w:rsidRPr="008F0BAC" w:rsidRDefault="00240F40" w:rsidP="008F0BAC">
            <w:pPr>
              <w:jc w:val="center"/>
              <w:rPr>
                <w:rFonts w:ascii="Arial" w:hAnsi="Arial" w:cs="Arial"/>
                <w:b/>
                <w:sz w:val="40"/>
                <w:szCs w:val="40"/>
              </w:rPr>
            </w:pPr>
          </w:p>
        </w:tc>
      </w:tr>
    </w:tbl>
    <w:p w14:paraId="25CF8E5A" w14:textId="77777777" w:rsidR="00240F40" w:rsidRDefault="00240F40" w:rsidP="00240F40">
      <w:pPr>
        <w:rPr>
          <w:b/>
          <w:sz w:val="24"/>
        </w:rPr>
      </w:pPr>
    </w:p>
    <w:p w14:paraId="2694CC04" w14:textId="77777777" w:rsidR="00FB18F5" w:rsidRDefault="00FB18F5" w:rsidP="00240F40">
      <w:pPr>
        <w:rPr>
          <w:b/>
          <w:sz w:val="24"/>
        </w:rPr>
      </w:pPr>
    </w:p>
    <w:p w14:paraId="35638D92" w14:textId="77777777" w:rsidR="00FB18F5" w:rsidRPr="00FB18F5" w:rsidRDefault="00FB18F5" w:rsidP="00240F40">
      <w:pPr>
        <w:rPr>
          <w:rFonts w:ascii="Arial" w:hAnsi="Arial" w:cs="Arial"/>
          <w:b/>
          <w:sz w:val="24"/>
        </w:rPr>
      </w:pPr>
    </w:p>
    <w:p w14:paraId="473AE4E4" w14:textId="77777777" w:rsidR="00FB18F5" w:rsidRPr="00FB18F5" w:rsidRDefault="00FB18F5" w:rsidP="00240F40">
      <w:pPr>
        <w:rPr>
          <w:rFonts w:ascii="Arial" w:hAnsi="Arial" w:cs="Arial"/>
          <w:b/>
          <w:sz w:val="24"/>
        </w:rPr>
      </w:pPr>
      <w:r w:rsidRPr="00FB18F5">
        <w:rPr>
          <w:rFonts w:ascii="Arial" w:hAnsi="Arial" w:cs="Arial"/>
          <w:b/>
          <w:sz w:val="24"/>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636"/>
        <w:gridCol w:w="3637"/>
        <w:gridCol w:w="2140"/>
      </w:tblGrid>
      <w:tr w:rsidR="00FB18F5" w:rsidRPr="008F0BAC" w14:paraId="6E12B304" w14:textId="77777777" w:rsidTr="008F0BAC">
        <w:tc>
          <w:tcPr>
            <w:tcW w:w="1101" w:type="dxa"/>
            <w:shd w:val="clear" w:color="auto" w:fill="auto"/>
          </w:tcPr>
          <w:p w14:paraId="396BEA47" w14:textId="77777777" w:rsidR="00FB18F5" w:rsidRPr="008F0BAC" w:rsidRDefault="00FB18F5" w:rsidP="008F0BAC">
            <w:pPr>
              <w:jc w:val="center"/>
              <w:rPr>
                <w:rFonts w:ascii="Arial" w:hAnsi="Arial" w:cs="Arial"/>
                <w:b/>
                <w:sz w:val="24"/>
              </w:rPr>
            </w:pPr>
            <w:r w:rsidRPr="008F0BAC">
              <w:rPr>
                <w:rFonts w:ascii="Arial" w:hAnsi="Arial" w:cs="Arial"/>
                <w:b/>
                <w:sz w:val="24"/>
              </w:rPr>
              <w:t>Revision</w:t>
            </w:r>
          </w:p>
        </w:tc>
        <w:tc>
          <w:tcPr>
            <w:tcW w:w="1701" w:type="dxa"/>
            <w:shd w:val="clear" w:color="auto" w:fill="auto"/>
          </w:tcPr>
          <w:p w14:paraId="7C076B66" w14:textId="77777777" w:rsidR="00FB18F5" w:rsidRPr="008F0BAC" w:rsidRDefault="00FB18F5" w:rsidP="008F0BAC">
            <w:pPr>
              <w:jc w:val="center"/>
              <w:rPr>
                <w:rFonts w:ascii="Arial" w:hAnsi="Arial" w:cs="Arial"/>
                <w:b/>
                <w:sz w:val="24"/>
              </w:rPr>
            </w:pPr>
            <w:r w:rsidRPr="008F0BAC">
              <w:rPr>
                <w:rFonts w:ascii="Arial" w:hAnsi="Arial" w:cs="Arial"/>
                <w:b/>
                <w:sz w:val="24"/>
              </w:rPr>
              <w:t>Date</w:t>
            </w:r>
          </w:p>
        </w:tc>
        <w:tc>
          <w:tcPr>
            <w:tcW w:w="3840" w:type="dxa"/>
            <w:shd w:val="clear" w:color="auto" w:fill="auto"/>
          </w:tcPr>
          <w:p w14:paraId="43B01E71" w14:textId="77777777" w:rsidR="00FB18F5" w:rsidRPr="008F0BAC" w:rsidRDefault="00FB18F5" w:rsidP="008F0BAC">
            <w:pPr>
              <w:jc w:val="center"/>
              <w:rPr>
                <w:rFonts w:ascii="Arial" w:hAnsi="Arial" w:cs="Arial"/>
                <w:b/>
                <w:sz w:val="24"/>
              </w:rPr>
            </w:pPr>
            <w:r w:rsidRPr="008F0BAC">
              <w:rPr>
                <w:rFonts w:ascii="Arial" w:hAnsi="Arial" w:cs="Arial"/>
                <w:b/>
                <w:sz w:val="24"/>
              </w:rPr>
              <w:t>Revision Description DCRT#</w:t>
            </w:r>
          </w:p>
        </w:tc>
        <w:tc>
          <w:tcPr>
            <w:tcW w:w="2214" w:type="dxa"/>
            <w:shd w:val="clear" w:color="auto" w:fill="auto"/>
          </w:tcPr>
          <w:p w14:paraId="568CAE97" w14:textId="77777777" w:rsidR="00FB18F5" w:rsidRPr="008F0BAC" w:rsidRDefault="00FB18F5" w:rsidP="008F0BAC">
            <w:pPr>
              <w:jc w:val="center"/>
              <w:rPr>
                <w:rFonts w:ascii="Arial" w:hAnsi="Arial" w:cs="Arial"/>
                <w:b/>
                <w:sz w:val="24"/>
              </w:rPr>
            </w:pPr>
            <w:r w:rsidRPr="008F0BAC">
              <w:rPr>
                <w:rFonts w:ascii="Arial" w:hAnsi="Arial" w:cs="Arial"/>
                <w:b/>
                <w:sz w:val="24"/>
              </w:rPr>
              <w:t>Originator</w:t>
            </w:r>
          </w:p>
        </w:tc>
      </w:tr>
      <w:tr w:rsidR="00FB18F5" w:rsidRPr="008F0BAC" w14:paraId="1116AC2D" w14:textId="77777777" w:rsidTr="008F0BAC">
        <w:tc>
          <w:tcPr>
            <w:tcW w:w="1101" w:type="dxa"/>
            <w:shd w:val="clear" w:color="auto" w:fill="auto"/>
          </w:tcPr>
          <w:p w14:paraId="5E6A8A53" w14:textId="77777777" w:rsidR="00FB18F5" w:rsidRPr="008F0BAC" w:rsidRDefault="00A53C62" w:rsidP="00240F40">
            <w:pPr>
              <w:rPr>
                <w:sz w:val="24"/>
              </w:rPr>
            </w:pPr>
            <w:r w:rsidRPr="008F0BAC">
              <w:rPr>
                <w:sz w:val="24"/>
              </w:rPr>
              <w:t>01</w:t>
            </w:r>
          </w:p>
        </w:tc>
        <w:tc>
          <w:tcPr>
            <w:tcW w:w="1701" w:type="dxa"/>
            <w:shd w:val="clear" w:color="auto" w:fill="auto"/>
          </w:tcPr>
          <w:p w14:paraId="38498551" w14:textId="77777777" w:rsidR="00FB18F5" w:rsidRPr="008F0BAC" w:rsidRDefault="00A53C62" w:rsidP="00240F40">
            <w:pPr>
              <w:rPr>
                <w:sz w:val="24"/>
              </w:rPr>
            </w:pPr>
            <w:r w:rsidRPr="008F0BAC">
              <w:rPr>
                <w:sz w:val="24"/>
              </w:rPr>
              <w:t>21 August 03</w:t>
            </w:r>
          </w:p>
        </w:tc>
        <w:tc>
          <w:tcPr>
            <w:tcW w:w="3840" w:type="dxa"/>
            <w:shd w:val="clear" w:color="auto" w:fill="auto"/>
          </w:tcPr>
          <w:p w14:paraId="778C553B" w14:textId="77777777" w:rsidR="00FB18F5" w:rsidRPr="008F0BAC" w:rsidRDefault="00A53C62" w:rsidP="00240F40">
            <w:pPr>
              <w:rPr>
                <w:sz w:val="24"/>
              </w:rPr>
            </w:pPr>
            <w:r w:rsidRPr="008F0BAC">
              <w:rPr>
                <w:sz w:val="24"/>
              </w:rPr>
              <w:t>Conversion of OP131</w:t>
            </w:r>
          </w:p>
        </w:tc>
        <w:tc>
          <w:tcPr>
            <w:tcW w:w="2214" w:type="dxa"/>
            <w:shd w:val="clear" w:color="auto" w:fill="auto"/>
          </w:tcPr>
          <w:p w14:paraId="5DAEAC59" w14:textId="77777777" w:rsidR="00FB18F5" w:rsidRPr="008F0BAC" w:rsidRDefault="00A53C62" w:rsidP="00240F40">
            <w:pPr>
              <w:rPr>
                <w:sz w:val="24"/>
              </w:rPr>
            </w:pPr>
            <w:r w:rsidRPr="008F0BAC">
              <w:rPr>
                <w:sz w:val="24"/>
              </w:rPr>
              <w:t>Lisa Whelan</w:t>
            </w:r>
          </w:p>
        </w:tc>
      </w:tr>
      <w:tr w:rsidR="00E80AE2" w:rsidRPr="008F0BAC" w14:paraId="07B1A9BE" w14:textId="77777777" w:rsidTr="008F0BAC">
        <w:tc>
          <w:tcPr>
            <w:tcW w:w="1101" w:type="dxa"/>
            <w:shd w:val="clear" w:color="auto" w:fill="auto"/>
          </w:tcPr>
          <w:p w14:paraId="2DD7E5A8" w14:textId="77777777" w:rsidR="00E80AE2" w:rsidRPr="008F0BAC" w:rsidRDefault="00E80AE2" w:rsidP="00240F40">
            <w:pPr>
              <w:rPr>
                <w:sz w:val="24"/>
              </w:rPr>
            </w:pPr>
            <w:r w:rsidRPr="008F0BAC">
              <w:rPr>
                <w:sz w:val="24"/>
              </w:rPr>
              <w:t>02</w:t>
            </w:r>
          </w:p>
        </w:tc>
        <w:tc>
          <w:tcPr>
            <w:tcW w:w="1701" w:type="dxa"/>
            <w:shd w:val="clear" w:color="auto" w:fill="auto"/>
          </w:tcPr>
          <w:p w14:paraId="4E92376C" w14:textId="77777777" w:rsidR="00E80AE2" w:rsidRPr="008F0BAC" w:rsidRDefault="00E80AE2" w:rsidP="00240F40">
            <w:pPr>
              <w:rPr>
                <w:sz w:val="24"/>
              </w:rPr>
            </w:pPr>
            <w:r w:rsidRPr="008F0BAC">
              <w:rPr>
                <w:sz w:val="24"/>
              </w:rPr>
              <w:t>19 January 09</w:t>
            </w:r>
          </w:p>
        </w:tc>
        <w:tc>
          <w:tcPr>
            <w:tcW w:w="3840" w:type="dxa"/>
            <w:shd w:val="clear" w:color="auto" w:fill="auto"/>
          </w:tcPr>
          <w:p w14:paraId="5A64F875" w14:textId="77777777" w:rsidR="00E80AE2" w:rsidRPr="008F0BAC" w:rsidRDefault="00E80AE2" w:rsidP="00240F40">
            <w:pPr>
              <w:rPr>
                <w:sz w:val="24"/>
              </w:rPr>
            </w:pPr>
            <w:r w:rsidRPr="008F0BAC">
              <w:rPr>
                <w:sz w:val="24"/>
              </w:rPr>
              <w:t>Update contact persons</w:t>
            </w:r>
          </w:p>
        </w:tc>
        <w:tc>
          <w:tcPr>
            <w:tcW w:w="2214" w:type="dxa"/>
            <w:shd w:val="clear" w:color="auto" w:fill="auto"/>
          </w:tcPr>
          <w:p w14:paraId="6E9C929E" w14:textId="77777777" w:rsidR="00E80AE2" w:rsidRPr="008F0BAC" w:rsidRDefault="00E80AE2" w:rsidP="00240F40">
            <w:pPr>
              <w:rPr>
                <w:sz w:val="24"/>
              </w:rPr>
            </w:pPr>
            <w:r w:rsidRPr="008F0BAC">
              <w:rPr>
                <w:sz w:val="24"/>
              </w:rPr>
              <w:t>QA Officer</w:t>
            </w:r>
          </w:p>
        </w:tc>
      </w:tr>
      <w:tr w:rsidR="00F64C42" w:rsidRPr="008F0BAC" w14:paraId="1FBF5BA0" w14:textId="77777777" w:rsidTr="008F0BAC">
        <w:tc>
          <w:tcPr>
            <w:tcW w:w="1101" w:type="dxa"/>
            <w:shd w:val="clear" w:color="auto" w:fill="auto"/>
          </w:tcPr>
          <w:p w14:paraId="45C998B1" w14:textId="77777777" w:rsidR="00F64C42" w:rsidRPr="008F0BAC" w:rsidRDefault="00F64C42" w:rsidP="00240F40">
            <w:pPr>
              <w:rPr>
                <w:sz w:val="24"/>
              </w:rPr>
            </w:pPr>
            <w:r w:rsidRPr="008F0BAC">
              <w:rPr>
                <w:sz w:val="24"/>
              </w:rPr>
              <w:t>03</w:t>
            </w:r>
          </w:p>
        </w:tc>
        <w:tc>
          <w:tcPr>
            <w:tcW w:w="1701" w:type="dxa"/>
            <w:shd w:val="clear" w:color="auto" w:fill="auto"/>
          </w:tcPr>
          <w:p w14:paraId="61F3A0C1" w14:textId="77777777" w:rsidR="00F64C42" w:rsidRPr="008F0BAC" w:rsidRDefault="00F64C42" w:rsidP="00240F40">
            <w:pPr>
              <w:rPr>
                <w:sz w:val="24"/>
              </w:rPr>
            </w:pPr>
            <w:r w:rsidRPr="008F0BAC">
              <w:rPr>
                <w:sz w:val="24"/>
              </w:rPr>
              <w:t>8 March 2021</w:t>
            </w:r>
          </w:p>
        </w:tc>
        <w:tc>
          <w:tcPr>
            <w:tcW w:w="3840" w:type="dxa"/>
            <w:shd w:val="clear" w:color="auto" w:fill="auto"/>
          </w:tcPr>
          <w:p w14:paraId="5A6AFFE0" w14:textId="77777777" w:rsidR="00F64C42" w:rsidRPr="008F0BAC" w:rsidRDefault="00F64C42" w:rsidP="00240F40">
            <w:pPr>
              <w:rPr>
                <w:sz w:val="24"/>
              </w:rPr>
            </w:pPr>
            <w:r w:rsidRPr="008F0BAC">
              <w:rPr>
                <w:sz w:val="24"/>
              </w:rPr>
              <w:t>Logo</w:t>
            </w:r>
          </w:p>
        </w:tc>
        <w:tc>
          <w:tcPr>
            <w:tcW w:w="2214" w:type="dxa"/>
            <w:shd w:val="clear" w:color="auto" w:fill="auto"/>
          </w:tcPr>
          <w:p w14:paraId="55E72691" w14:textId="77777777" w:rsidR="00F64C42" w:rsidRPr="008F0BAC" w:rsidRDefault="00F64C42" w:rsidP="00240F40">
            <w:pPr>
              <w:rPr>
                <w:sz w:val="24"/>
              </w:rPr>
            </w:pPr>
            <w:r w:rsidRPr="008F0BAC">
              <w:rPr>
                <w:sz w:val="24"/>
              </w:rPr>
              <w:t>QA Manager</w:t>
            </w:r>
          </w:p>
        </w:tc>
      </w:tr>
    </w:tbl>
    <w:p w14:paraId="0B2ABF87" w14:textId="77777777" w:rsidR="00FB18F5" w:rsidRDefault="00FB18F5" w:rsidP="00240F40">
      <w:pPr>
        <w:rPr>
          <w:b/>
          <w:sz w:val="24"/>
        </w:rPr>
      </w:pPr>
    </w:p>
    <w:p w14:paraId="02024C94" w14:textId="77777777" w:rsidR="00FB18F5" w:rsidRDefault="00FB18F5" w:rsidP="00240F40">
      <w:pPr>
        <w:rPr>
          <w:b/>
          <w:sz w:val="24"/>
        </w:rPr>
      </w:pPr>
    </w:p>
    <w:p w14:paraId="2D407586" w14:textId="77777777" w:rsidR="00FB18F5" w:rsidRDefault="00FB18F5" w:rsidP="00240F40">
      <w:pPr>
        <w:rPr>
          <w:b/>
          <w:sz w:val="24"/>
        </w:rPr>
      </w:pPr>
    </w:p>
    <w:p w14:paraId="1CE97285" w14:textId="77777777" w:rsidR="00FB18F5" w:rsidRDefault="00FB18F5" w:rsidP="00240F40">
      <w:pPr>
        <w:rPr>
          <w:b/>
          <w:sz w:val="24"/>
        </w:rPr>
      </w:pPr>
    </w:p>
    <w:p w14:paraId="42DB24D1" w14:textId="77777777" w:rsidR="00FB18F5" w:rsidRDefault="00FB18F5" w:rsidP="00240F40">
      <w:pPr>
        <w:rPr>
          <w:b/>
          <w:sz w:val="24"/>
        </w:rPr>
      </w:pPr>
    </w:p>
    <w:p w14:paraId="6C205139" w14:textId="77777777" w:rsidR="00FB18F5" w:rsidRDefault="00FB18F5" w:rsidP="00240F40">
      <w:pPr>
        <w:rPr>
          <w:b/>
          <w:sz w:val="24"/>
        </w:rPr>
      </w:pPr>
    </w:p>
    <w:p w14:paraId="2ED8D5BE" w14:textId="77777777" w:rsidR="00FB18F5" w:rsidRDefault="00FB18F5" w:rsidP="00240F40">
      <w:pPr>
        <w:rPr>
          <w:b/>
          <w:sz w:val="24"/>
        </w:rPr>
      </w:pPr>
    </w:p>
    <w:p w14:paraId="4F8CB25D" w14:textId="77777777" w:rsidR="00FB18F5" w:rsidRDefault="00FB18F5" w:rsidP="00240F40">
      <w:pPr>
        <w:rPr>
          <w:b/>
          <w:sz w:val="24"/>
        </w:rPr>
      </w:pPr>
    </w:p>
    <w:p w14:paraId="63A3798B" w14:textId="77777777" w:rsidR="00FB18F5" w:rsidRDefault="00FB18F5" w:rsidP="00240F40">
      <w:pPr>
        <w:rPr>
          <w:b/>
          <w:sz w:val="24"/>
        </w:rPr>
      </w:pPr>
    </w:p>
    <w:p w14:paraId="117AA895" w14:textId="77777777" w:rsidR="00FB18F5" w:rsidRDefault="00FB18F5" w:rsidP="00240F40">
      <w:pPr>
        <w:rPr>
          <w:b/>
          <w:sz w:val="24"/>
        </w:rPr>
      </w:pPr>
    </w:p>
    <w:p w14:paraId="29A222DD" w14:textId="77777777" w:rsidR="00FB18F5" w:rsidRDefault="00FB18F5" w:rsidP="00240F40">
      <w:pPr>
        <w:rPr>
          <w:b/>
          <w:sz w:val="24"/>
        </w:rPr>
      </w:pPr>
    </w:p>
    <w:p w14:paraId="4C203DBE" w14:textId="77777777" w:rsidR="00FB18F5" w:rsidRDefault="00FB18F5" w:rsidP="00240F40">
      <w:pPr>
        <w:rPr>
          <w:b/>
          <w:sz w:val="24"/>
        </w:rPr>
      </w:pPr>
    </w:p>
    <w:p w14:paraId="0BED8A7A" w14:textId="77777777" w:rsidR="00FB18F5" w:rsidRDefault="00FB18F5" w:rsidP="00240F40">
      <w:pPr>
        <w:rPr>
          <w:b/>
          <w:sz w:val="24"/>
        </w:rPr>
      </w:pPr>
    </w:p>
    <w:p w14:paraId="32E625BD" w14:textId="77777777" w:rsidR="00FB18F5" w:rsidRDefault="00FB18F5" w:rsidP="00240F40">
      <w:pPr>
        <w:rPr>
          <w:b/>
          <w:sz w:val="24"/>
        </w:rPr>
      </w:pPr>
    </w:p>
    <w:p w14:paraId="42429F13" w14:textId="77777777" w:rsidR="00FB18F5" w:rsidRDefault="00FB18F5" w:rsidP="00240F40">
      <w:pPr>
        <w:rPr>
          <w:b/>
          <w:sz w:val="24"/>
        </w:rPr>
      </w:pPr>
    </w:p>
    <w:p w14:paraId="10DD6676" w14:textId="77777777" w:rsidR="00FB18F5" w:rsidRDefault="00FB18F5" w:rsidP="00240F40">
      <w:pPr>
        <w:rPr>
          <w:b/>
          <w:sz w:val="24"/>
        </w:rPr>
      </w:pPr>
    </w:p>
    <w:p w14:paraId="18B06615" w14:textId="77777777" w:rsidR="00CB3AC6" w:rsidRDefault="00CB3AC6" w:rsidP="00240F40">
      <w:pPr>
        <w:rPr>
          <w:b/>
          <w:sz w:val="24"/>
        </w:rPr>
      </w:pPr>
    </w:p>
    <w:p w14:paraId="4248E35C" w14:textId="77777777" w:rsidR="00CB3AC6" w:rsidRDefault="00CB3AC6" w:rsidP="00240F40">
      <w:pPr>
        <w:rPr>
          <w:b/>
          <w:sz w:val="24"/>
        </w:rPr>
      </w:pPr>
    </w:p>
    <w:p w14:paraId="01470EF3" w14:textId="77777777" w:rsidR="00CB3AC6" w:rsidRDefault="00CB3AC6" w:rsidP="00240F40">
      <w:pPr>
        <w:rPr>
          <w:b/>
          <w:sz w:val="24"/>
        </w:rPr>
      </w:pPr>
    </w:p>
    <w:p w14:paraId="1E15418B" w14:textId="77777777" w:rsidR="00CB3AC6" w:rsidRDefault="00CB3AC6" w:rsidP="00240F40">
      <w:pPr>
        <w:rPr>
          <w:b/>
          <w:sz w:val="24"/>
        </w:rPr>
      </w:pPr>
    </w:p>
    <w:p w14:paraId="30802CFE" w14:textId="77777777" w:rsidR="00CB3AC6" w:rsidRDefault="00CB3AC6" w:rsidP="00240F40">
      <w:pPr>
        <w:rPr>
          <w:b/>
          <w:sz w:val="24"/>
        </w:rPr>
      </w:pPr>
    </w:p>
    <w:p w14:paraId="404AD3CB" w14:textId="77777777" w:rsidR="00CB3AC6" w:rsidRDefault="00CB3AC6" w:rsidP="00240F40">
      <w:pPr>
        <w:rPr>
          <w:b/>
          <w:sz w:val="24"/>
        </w:rPr>
      </w:pPr>
    </w:p>
    <w:p w14:paraId="11ABE7D5" w14:textId="77777777" w:rsidR="00CB3AC6" w:rsidRDefault="00CB3AC6" w:rsidP="00557907">
      <w:pPr>
        <w:numPr>
          <w:ilvl w:val="0"/>
          <w:numId w:val="1"/>
        </w:numPr>
        <w:spacing w:before="120" w:after="120"/>
        <w:ind w:left="425" w:hanging="357"/>
        <w:rPr>
          <w:rFonts w:ascii="Arial" w:hAnsi="Arial" w:cs="Arial"/>
          <w:b/>
          <w:sz w:val="24"/>
        </w:rPr>
      </w:pPr>
      <w:r w:rsidRPr="006951DC">
        <w:rPr>
          <w:rFonts w:ascii="Arial" w:hAnsi="Arial" w:cs="Arial"/>
          <w:b/>
          <w:sz w:val="24"/>
        </w:rPr>
        <w:t>Purpose</w:t>
      </w:r>
    </w:p>
    <w:p w14:paraId="0AE98058" w14:textId="77777777" w:rsidR="00A53C62" w:rsidRPr="00A53C62" w:rsidRDefault="00237BF2" w:rsidP="00237BF2">
      <w:pPr>
        <w:pStyle w:val="BodyTextIndent"/>
        <w:spacing w:before="60" w:after="60"/>
        <w:ind w:left="0" w:hanging="11"/>
        <w:rPr>
          <w:sz w:val="24"/>
          <w:szCs w:val="24"/>
        </w:rPr>
      </w:pPr>
      <w:r w:rsidRPr="00A53C62">
        <w:rPr>
          <w:sz w:val="24"/>
          <w:szCs w:val="24"/>
        </w:rPr>
        <w:t xml:space="preserve">This document is provided as an information document for students.  </w:t>
      </w:r>
      <w:r w:rsidR="00A53C62" w:rsidRPr="00A53C62">
        <w:rPr>
          <w:sz w:val="24"/>
          <w:szCs w:val="24"/>
        </w:rPr>
        <w:t xml:space="preserve">This policy is not intended to stifle normal and appropriate relationships amongst staff and students but rather is intended to promote a healthy working and learning environment.  </w:t>
      </w:r>
    </w:p>
    <w:p w14:paraId="3AED58A8" w14:textId="77777777" w:rsidR="00CB3AC6" w:rsidRPr="00A53C62" w:rsidRDefault="00CB3AC6" w:rsidP="00CB3AC6">
      <w:pPr>
        <w:ind w:left="426"/>
        <w:rPr>
          <w:rFonts w:ascii="Arial" w:hAnsi="Arial" w:cs="Arial"/>
          <w:b/>
          <w:sz w:val="24"/>
          <w:szCs w:val="24"/>
        </w:rPr>
      </w:pPr>
    </w:p>
    <w:p w14:paraId="3E6EF0B6" w14:textId="77777777" w:rsidR="00CB3AC6" w:rsidRPr="006951DC" w:rsidRDefault="00CB3AC6" w:rsidP="00557907">
      <w:pPr>
        <w:numPr>
          <w:ilvl w:val="0"/>
          <w:numId w:val="1"/>
        </w:numPr>
        <w:spacing w:before="120" w:after="120"/>
        <w:ind w:left="425" w:hanging="357"/>
        <w:rPr>
          <w:rFonts w:ascii="Arial" w:hAnsi="Arial" w:cs="Arial"/>
          <w:b/>
          <w:sz w:val="24"/>
        </w:rPr>
      </w:pPr>
      <w:r w:rsidRPr="006951DC">
        <w:rPr>
          <w:rFonts w:ascii="Arial" w:hAnsi="Arial" w:cs="Arial"/>
          <w:b/>
          <w:sz w:val="24"/>
        </w:rPr>
        <w:t>Scope</w:t>
      </w:r>
    </w:p>
    <w:p w14:paraId="41153B20" w14:textId="77777777" w:rsidR="00237BF2" w:rsidRPr="00A53C62" w:rsidRDefault="00237BF2" w:rsidP="00237BF2">
      <w:pPr>
        <w:pStyle w:val="BodyTextIndent"/>
        <w:spacing w:before="60" w:after="60"/>
        <w:ind w:left="0" w:hanging="11"/>
        <w:rPr>
          <w:sz w:val="24"/>
          <w:szCs w:val="24"/>
        </w:rPr>
      </w:pPr>
      <w:r w:rsidRPr="00A53C62">
        <w:rPr>
          <w:sz w:val="24"/>
          <w:szCs w:val="24"/>
        </w:rPr>
        <w:t xml:space="preserve">This document </w:t>
      </w:r>
      <w:r>
        <w:rPr>
          <w:sz w:val="24"/>
          <w:szCs w:val="24"/>
        </w:rPr>
        <w:t>applies to all students of the Institute and is of relevance to staff</w:t>
      </w:r>
      <w:r w:rsidRPr="00A53C62">
        <w:rPr>
          <w:sz w:val="24"/>
          <w:szCs w:val="24"/>
        </w:rPr>
        <w:t xml:space="preserve">.  </w:t>
      </w:r>
    </w:p>
    <w:p w14:paraId="668A1FA0" w14:textId="77777777" w:rsidR="00CB3AC6" w:rsidRPr="006951DC" w:rsidRDefault="00CB3AC6" w:rsidP="00CB3AC6">
      <w:pPr>
        <w:ind w:left="426"/>
        <w:rPr>
          <w:rFonts w:ascii="Arial" w:hAnsi="Arial" w:cs="Arial"/>
          <w:b/>
          <w:sz w:val="24"/>
        </w:rPr>
      </w:pPr>
    </w:p>
    <w:p w14:paraId="5BEC37A2" w14:textId="77777777" w:rsidR="00CB3AC6" w:rsidRDefault="00CB3AC6" w:rsidP="00557907">
      <w:pPr>
        <w:numPr>
          <w:ilvl w:val="0"/>
          <w:numId w:val="1"/>
        </w:numPr>
        <w:ind w:left="426"/>
        <w:rPr>
          <w:rFonts w:ascii="Arial" w:hAnsi="Arial" w:cs="Arial"/>
          <w:b/>
          <w:sz w:val="24"/>
        </w:rPr>
      </w:pPr>
      <w:r w:rsidRPr="006951DC">
        <w:rPr>
          <w:rFonts w:ascii="Arial" w:hAnsi="Arial" w:cs="Arial"/>
          <w:b/>
          <w:sz w:val="24"/>
        </w:rPr>
        <w:t>Definitions</w:t>
      </w:r>
    </w:p>
    <w:p w14:paraId="101F1B05" w14:textId="77777777" w:rsidR="00096210" w:rsidRPr="006951DC" w:rsidRDefault="00096210" w:rsidP="00096210">
      <w:pPr>
        <w:ind w:left="66"/>
        <w:rPr>
          <w:rFonts w:ascii="Arial" w:hAnsi="Arial" w:cs="Arial"/>
          <w:b/>
          <w:sz w:val="24"/>
        </w:rPr>
      </w:pPr>
    </w:p>
    <w:p w14:paraId="145C4824" w14:textId="77777777" w:rsidR="001A4C68" w:rsidRDefault="001A4C68" w:rsidP="004F7796">
      <w:pPr>
        <w:numPr>
          <w:ilvl w:val="1"/>
          <w:numId w:val="11"/>
        </w:numPr>
        <w:rPr>
          <w:sz w:val="24"/>
        </w:rPr>
      </w:pPr>
      <w:r>
        <w:rPr>
          <w:b/>
          <w:sz w:val="24"/>
          <w:u w:val="single"/>
        </w:rPr>
        <w:t>Sexual harassment</w:t>
      </w:r>
      <w:r>
        <w:rPr>
          <w:sz w:val="24"/>
        </w:rPr>
        <w:t xml:space="preserve"> is behaviour contrary to the Employment Equality Act.  Sexual harassment means unwanted conduct of a sexual nature or other conduct based on sex affecting the dignity of women and men at work and could include:</w:t>
      </w:r>
    </w:p>
    <w:p w14:paraId="33483ED5" w14:textId="77777777" w:rsidR="001A4C68" w:rsidRDefault="001A4C68" w:rsidP="001A4C68">
      <w:pPr>
        <w:rPr>
          <w:sz w:val="24"/>
          <w:u w:val="single"/>
        </w:rPr>
      </w:pPr>
    </w:p>
    <w:p w14:paraId="759F3C3B" w14:textId="77777777" w:rsidR="001A4C68" w:rsidRDefault="001A4C68" w:rsidP="004F7796">
      <w:pPr>
        <w:numPr>
          <w:ilvl w:val="0"/>
          <w:numId w:val="12"/>
        </w:numPr>
        <w:rPr>
          <w:sz w:val="24"/>
        </w:rPr>
      </w:pPr>
      <w:r>
        <w:rPr>
          <w:sz w:val="24"/>
        </w:rPr>
        <w:t>Non-verbal (e.g. pictures)</w:t>
      </w:r>
    </w:p>
    <w:p w14:paraId="78D68EE1" w14:textId="77777777" w:rsidR="001A4C68" w:rsidRDefault="001A4C68" w:rsidP="004F7796">
      <w:pPr>
        <w:numPr>
          <w:ilvl w:val="0"/>
          <w:numId w:val="12"/>
        </w:numPr>
        <w:rPr>
          <w:sz w:val="24"/>
        </w:rPr>
      </w:pPr>
      <w:r>
        <w:rPr>
          <w:sz w:val="24"/>
        </w:rPr>
        <w:t>Verbal (e.g. continued suggestive remarks)</w:t>
      </w:r>
    </w:p>
    <w:p w14:paraId="5A3439DC" w14:textId="77777777" w:rsidR="001A4C68" w:rsidRDefault="001A4C68" w:rsidP="004F7796">
      <w:pPr>
        <w:numPr>
          <w:ilvl w:val="0"/>
          <w:numId w:val="12"/>
        </w:numPr>
        <w:rPr>
          <w:sz w:val="24"/>
        </w:rPr>
      </w:pPr>
      <w:r>
        <w:rPr>
          <w:sz w:val="24"/>
        </w:rPr>
        <w:t>Physical (e.g. unnecessary touching)</w:t>
      </w:r>
    </w:p>
    <w:p w14:paraId="209C8AF6" w14:textId="77777777" w:rsidR="001A4C68" w:rsidRDefault="001A4C68" w:rsidP="004F7796">
      <w:pPr>
        <w:numPr>
          <w:ilvl w:val="0"/>
          <w:numId w:val="12"/>
        </w:numPr>
        <w:rPr>
          <w:sz w:val="24"/>
        </w:rPr>
      </w:pPr>
      <w:r>
        <w:rPr>
          <w:sz w:val="24"/>
        </w:rPr>
        <w:t>Ridicule or intimidating behaviour</w:t>
      </w:r>
    </w:p>
    <w:p w14:paraId="308BB145" w14:textId="77777777" w:rsidR="001A4C68" w:rsidRDefault="001A4C68" w:rsidP="001A4C68">
      <w:pPr>
        <w:ind w:left="720"/>
        <w:rPr>
          <w:sz w:val="24"/>
        </w:rPr>
      </w:pPr>
    </w:p>
    <w:p w14:paraId="7A1C7CDA" w14:textId="77777777" w:rsidR="001A4C68" w:rsidRDefault="001A4C68" w:rsidP="001A4C68">
      <w:pPr>
        <w:ind w:left="720"/>
        <w:rPr>
          <w:sz w:val="24"/>
        </w:rPr>
      </w:pPr>
      <w:r>
        <w:rPr>
          <w:sz w:val="24"/>
        </w:rPr>
        <w:t>Sexual harassment refers to acts that are unsolicited, personally offensive, and fail to respect the rights of others.  It may occur between men and women or between members of the same gender.</w:t>
      </w:r>
    </w:p>
    <w:p w14:paraId="31EEC0C4" w14:textId="77777777" w:rsidR="001A4C68" w:rsidRDefault="001A4C68" w:rsidP="001A4C68">
      <w:pPr>
        <w:ind w:left="720"/>
        <w:rPr>
          <w:sz w:val="24"/>
        </w:rPr>
      </w:pPr>
    </w:p>
    <w:p w14:paraId="2F65E590" w14:textId="77777777" w:rsidR="001A4C68" w:rsidRDefault="001A4C68" w:rsidP="001A4C68">
      <w:pPr>
        <w:ind w:left="720"/>
        <w:rPr>
          <w:i/>
          <w:sz w:val="24"/>
          <w:u w:val="single"/>
        </w:rPr>
      </w:pPr>
      <w:r>
        <w:rPr>
          <w:i/>
          <w:sz w:val="24"/>
          <w:u w:val="single"/>
        </w:rPr>
        <w:t>Examples of Sexual Harassment:</w:t>
      </w:r>
    </w:p>
    <w:p w14:paraId="73248E4A" w14:textId="77777777" w:rsidR="001A4C68" w:rsidRDefault="001A4C68" w:rsidP="001A4C68">
      <w:pPr>
        <w:ind w:left="720"/>
        <w:rPr>
          <w:sz w:val="24"/>
        </w:rPr>
      </w:pPr>
    </w:p>
    <w:p w14:paraId="5C73A9F0" w14:textId="77777777" w:rsidR="001A4C68" w:rsidRDefault="001A4C68" w:rsidP="00557907">
      <w:pPr>
        <w:numPr>
          <w:ilvl w:val="0"/>
          <w:numId w:val="2"/>
        </w:numPr>
        <w:tabs>
          <w:tab w:val="clear" w:pos="360"/>
          <w:tab w:val="num" w:pos="1080"/>
        </w:tabs>
        <w:ind w:left="1080"/>
        <w:rPr>
          <w:sz w:val="24"/>
        </w:rPr>
      </w:pPr>
      <w:r>
        <w:rPr>
          <w:sz w:val="24"/>
        </w:rPr>
        <w:t>Verbal: unwelcome sexual advances, suggestive jokes and innuendo, requests for sexual favours, threats</w:t>
      </w:r>
    </w:p>
    <w:p w14:paraId="5C4B3C2B" w14:textId="77777777" w:rsidR="001A4C68" w:rsidRDefault="001A4C68" w:rsidP="00557907">
      <w:pPr>
        <w:numPr>
          <w:ilvl w:val="0"/>
          <w:numId w:val="2"/>
        </w:numPr>
        <w:tabs>
          <w:tab w:val="clear" w:pos="360"/>
          <w:tab w:val="num" w:pos="1080"/>
        </w:tabs>
        <w:ind w:left="1080"/>
        <w:rPr>
          <w:sz w:val="24"/>
        </w:rPr>
      </w:pPr>
      <w:r>
        <w:rPr>
          <w:sz w:val="24"/>
        </w:rPr>
        <w:t xml:space="preserve">Non Verbal or indirect: sexually suggestive pictures or written material, leering or gestures; spreading rumours about a person’s sexual behaviour or orientation </w:t>
      </w:r>
    </w:p>
    <w:p w14:paraId="4D50319C" w14:textId="77777777" w:rsidR="001A4C68" w:rsidRDefault="001A4C68" w:rsidP="00557907">
      <w:pPr>
        <w:numPr>
          <w:ilvl w:val="0"/>
          <w:numId w:val="2"/>
        </w:numPr>
        <w:tabs>
          <w:tab w:val="clear" w:pos="360"/>
          <w:tab w:val="num" w:pos="1080"/>
        </w:tabs>
        <w:ind w:left="1080"/>
        <w:rPr>
          <w:sz w:val="24"/>
        </w:rPr>
      </w:pPr>
      <w:r>
        <w:rPr>
          <w:sz w:val="24"/>
        </w:rPr>
        <w:t xml:space="preserve">Electronic: sexually suggestive messages or images transmitted by computer </w:t>
      </w:r>
    </w:p>
    <w:p w14:paraId="188C0E68" w14:textId="77777777" w:rsidR="001A4C68" w:rsidRDefault="001A4C68" w:rsidP="00557907">
      <w:pPr>
        <w:numPr>
          <w:ilvl w:val="0"/>
          <w:numId w:val="2"/>
        </w:numPr>
        <w:tabs>
          <w:tab w:val="clear" w:pos="360"/>
          <w:tab w:val="num" w:pos="1080"/>
        </w:tabs>
        <w:ind w:left="1080"/>
        <w:rPr>
          <w:sz w:val="24"/>
        </w:rPr>
      </w:pPr>
      <w:r>
        <w:rPr>
          <w:sz w:val="24"/>
        </w:rPr>
        <w:t>Physical: unwelcome physical contact, up to and including assault</w:t>
      </w:r>
    </w:p>
    <w:p w14:paraId="5011725D" w14:textId="77777777" w:rsidR="001A4C68" w:rsidRDefault="001A4C68" w:rsidP="001A4C68">
      <w:pPr>
        <w:ind w:left="720"/>
        <w:rPr>
          <w:sz w:val="24"/>
        </w:rPr>
      </w:pPr>
    </w:p>
    <w:p w14:paraId="485D37AC" w14:textId="77777777" w:rsidR="001A4C68" w:rsidRPr="004F7796" w:rsidRDefault="001A4C68" w:rsidP="004F7796">
      <w:pPr>
        <w:numPr>
          <w:ilvl w:val="1"/>
          <w:numId w:val="11"/>
        </w:numPr>
        <w:rPr>
          <w:sz w:val="24"/>
        </w:rPr>
      </w:pPr>
      <w:r w:rsidRPr="004F7796">
        <w:rPr>
          <w:b/>
          <w:sz w:val="24"/>
          <w:u w:val="single"/>
        </w:rPr>
        <w:t xml:space="preserve"> </w:t>
      </w:r>
      <w:r>
        <w:rPr>
          <w:b/>
          <w:sz w:val="24"/>
          <w:u w:val="single"/>
        </w:rPr>
        <w:t>Bullying and harassment</w:t>
      </w:r>
      <w:r w:rsidRPr="004F7796">
        <w:rPr>
          <w:b/>
          <w:sz w:val="24"/>
          <w:u w:val="single"/>
        </w:rPr>
        <w:t xml:space="preserve"> </w:t>
      </w:r>
      <w:r w:rsidRPr="004F7796">
        <w:rPr>
          <w:sz w:val="24"/>
        </w:rPr>
        <w:t>refers to deliberate, aggressive acts, which are intended to cause distress, harm or damage to victims.  These acts may be verbal, physical or psychological and can range from slander and innuendo right through to harassment, intimidation or physical attack.  They may occur just once, or more commonly, on a number of occasions or in a series of sustained and prolonged assaults.</w:t>
      </w:r>
    </w:p>
    <w:p w14:paraId="3B2D8BD0" w14:textId="77777777" w:rsidR="001A4C68" w:rsidRDefault="001A4C68" w:rsidP="001A4C68">
      <w:pPr>
        <w:tabs>
          <w:tab w:val="left" w:pos="630"/>
        </w:tabs>
        <w:ind w:left="630" w:hanging="540"/>
        <w:rPr>
          <w:sz w:val="24"/>
        </w:rPr>
      </w:pPr>
    </w:p>
    <w:p w14:paraId="5D598B98" w14:textId="77777777" w:rsidR="001A4C68" w:rsidRDefault="001A4C68" w:rsidP="001A4C68">
      <w:pPr>
        <w:tabs>
          <w:tab w:val="left" w:pos="630"/>
        </w:tabs>
        <w:ind w:left="630" w:hanging="540"/>
        <w:rPr>
          <w:i/>
          <w:sz w:val="24"/>
          <w:u w:val="single"/>
        </w:rPr>
      </w:pPr>
      <w:r>
        <w:rPr>
          <w:sz w:val="24"/>
        </w:rPr>
        <w:tab/>
      </w:r>
      <w:r>
        <w:rPr>
          <w:i/>
          <w:sz w:val="24"/>
          <w:u w:val="single"/>
        </w:rPr>
        <w:t>Forms of Bullying (not exhaustive list)</w:t>
      </w:r>
    </w:p>
    <w:p w14:paraId="4F4D28AD" w14:textId="77777777" w:rsidR="001A4C68" w:rsidRDefault="001A4C68" w:rsidP="001A4C68">
      <w:pPr>
        <w:tabs>
          <w:tab w:val="left" w:pos="630"/>
        </w:tabs>
        <w:ind w:left="630" w:hanging="540"/>
        <w:rPr>
          <w:sz w:val="24"/>
        </w:rPr>
      </w:pPr>
    </w:p>
    <w:p w14:paraId="5E1E423F" w14:textId="77777777" w:rsidR="001A4C68" w:rsidRDefault="001A4C68" w:rsidP="00557907">
      <w:pPr>
        <w:numPr>
          <w:ilvl w:val="0"/>
          <w:numId w:val="3"/>
        </w:numPr>
        <w:tabs>
          <w:tab w:val="clear" w:pos="360"/>
        </w:tabs>
        <w:ind w:left="1080"/>
        <w:rPr>
          <w:sz w:val="24"/>
        </w:rPr>
      </w:pPr>
      <w:r>
        <w:rPr>
          <w:sz w:val="24"/>
        </w:rPr>
        <w:t>Physical contact</w:t>
      </w:r>
    </w:p>
    <w:p w14:paraId="49E05D14" w14:textId="77777777" w:rsidR="001A4C68" w:rsidRDefault="001A4C68" w:rsidP="00557907">
      <w:pPr>
        <w:numPr>
          <w:ilvl w:val="0"/>
          <w:numId w:val="3"/>
        </w:numPr>
        <w:tabs>
          <w:tab w:val="clear" w:pos="360"/>
        </w:tabs>
        <w:ind w:left="1080"/>
        <w:rPr>
          <w:sz w:val="24"/>
        </w:rPr>
      </w:pPr>
      <w:r>
        <w:rPr>
          <w:sz w:val="24"/>
        </w:rPr>
        <w:t>Verbal abuse</w:t>
      </w:r>
    </w:p>
    <w:p w14:paraId="3F5F9B36" w14:textId="77777777" w:rsidR="001A4C68" w:rsidRDefault="001A4C68" w:rsidP="00557907">
      <w:pPr>
        <w:numPr>
          <w:ilvl w:val="0"/>
          <w:numId w:val="3"/>
        </w:numPr>
        <w:tabs>
          <w:tab w:val="clear" w:pos="360"/>
        </w:tabs>
        <w:ind w:left="1080"/>
        <w:rPr>
          <w:sz w:val="24"/>
        </w:rPr>
      </w:pPr>
      <w:r>
        <w:rPr>
          <w:sz w:val="24"/>
        </w:rPr>
        <w:t>Implied threats</w:t>
      </w:r>
    </w:p>
    <w:p w14:paraId="51D24361" w14:textId="77777777" w:rsidR="001A4C68" w:rsidRDefault="001A4C68" w:rsidP="00557907">
      <w:pPr>
        <w:numPr>
          <w:ilvl w:val="0"/>
          <w:numId w:val="3"/>
        </w:numPr>
        <w:tabs>
          <w:tab w:val="clear" w:pos="360"/>
        </w:tabs>
        <w:ind w:left="1080"/>
        <w:rPr>
          <w:sz w:val="24"/>
        </w:rPr>
      </w:pPr>
      <w:r>
        <w:rPr>
          <w:sz w:val="24"/>
        </w:rPr>
        <w:t>Jokes, offensive language, gossip, slander, offensive songs</w:t>
      </w:r>
    </w:p>
    <w:p w14:paraId="0A6FB523" w14:textId="77777777" w:rsidR="001A4C68" w:rsidRDefault="001A4C68" w:rsidP="00557907">
      <w:pPr>
        <w:numPr>
          <w:ilvl w:val="0"/>
          <w:numId w:val="3"/>
        </w:numPr>
        <w:tabs>
          <w:tab w:val="clear" w:pos="360"/>
        </w:tabs>
        <w:ind w:left="1080"/>
        <w:rPr>
          <w:sz w:val="24"/>
        </w:rPr>
      </w:pPr>
      <w:r>
        <w:rPr>
          <w:sz w:val="24"/>
        </w:rPr>
        <w:t>Posters, photocopied cartoons, graffiti, obscene gestures, flags, bunting and emblems</w:t>
      </w:r>
    </w:p>
    <w:p w14:paraId="7A84AB78" w14:textId="77777777" w:rsidR="001A4C68" w:rsidRDefault="001A4C68" w:rsidP="00557907">
      <w:pPr>
        <w:numPr>
          <w:ilvl w:val="0"/>
          <w:numId w:val="3"/>
        </w:numPr>
        <w:tabs>
          <w:tab w:val="clear" w:pos="360"/>
        </w:tabs>
        <w:ind w:left="1080"/>
        <w:rPr>
          <w:sz w:val="24"/>
        </w:rPr>
      </w:pPr>
      <w:r>
        <w:rPr>
          <w:sz w:val="24"/>
        </w:rPr>
        <w:t>Repeated requests giving impossible deadlines or impossible tasks</w:t>
      </w:r>
    </w:p>
    <w:p w14:paraId="4EB31DCB" w14:textId="77777777" w:rsidR="001A4C68" w:rsidRDefault="001A4C68" w:rsidP="00557907">
      <w:pPr>
        <w:numPr>
          <w:ilvl w:val="0"/>
          <w:numId w:val="3"/>
        </w:numPr>
        <w:tabs>
          <w:tab w:val="clear" w:pos="360"/>
        </w:tabs>
        <w:ind w:left="1080"/>
        <w:rPr>
          <w:sz w:val="24"/>
        </w:rPr>
      </w:pPr>
      <w:r>
        <w:rPr>
          <w:sz w:val="24"/>
        </w:rPr>
        <w:t>Repeated unreasonable assignments of duties, which are obviously unfavourable to one individual</w:t>
      </w:r>
    </w:p>
    <w:p w14:paraId="488AD0AF" w14:textId="77777777" w:rsidR="001A4C68" w:rsidRDefault="001A4C68" w:rsidP="00557907">
      <w:pPr>
        <w:numPr>
          <w:ilvl w:val="0"/>
          <w:numId w:val="3"/>
        </w:numPr>
        <w:tabs>
          <w:tab w:val="clear" w:pos="360"/>
        </w:tabs>
        <w:ind w:left="1080"/>
        <w:rPr>
          <w:sz w:val="24"/>
        </w:rPr>
      </w:pPr>
      <w:r>
        <w:rPr>
          <w:sz w:val="24"/>
        </w:rPr>
        <w:t>Excessive supervision, monitoring everything the victim does, being excessively critical about minor things</w:t>
      </w:r>
    </w:p>
    <w:p w14:paraId="10749E8C" w14:textId="77777777" w:rsidR="001A4C68" w:rsidRDefault="001A4C68" w:rsidP="00557907">
      <w:pPr>
        <w:numPr>
          <w:ilvl w:val="0"/>
          <w:numId w:val="3"/>
        </w:numPr>
        <w:tabs>
          <w:tab w:val="clear" w:pos="360"/>
        </w:tabs>
        <w:ind w:left="1080"/>
        <w:rPr>
          <w:sz w:val="24"/>
        </w:rPr>
      </w:pPr>
      <w:r>
        <w:rPr>
          <w:sz w:val="24"/>
        </w:rPr>
        <w:t>Constantly taking the credit for the other person’s work but never taking the blame when things go wrong</w:t>
      </w:r>
    </w:p>
    <w:p w14:paraId="64F31395" w14:textId="77777777" w:rsidR="001A4C68" w:rsidRDefault="001A4C68" w:rsidP="00557907">
      <w:pPr>
        <w:numPr>
          <w:ilvl w:val="0"/>
          <w:numId w:val="3"/>
        </w:numPr>
        <w:tabs>
          <w:tab w:val="clear" w:pos="360"/>
        </w:tabs>
        <w:ind w:left="1080"/>
        <w:rPr>
          <w:sz w:val="24"/>
        </w:rPr>
      </w:pPr>
      <w:r>
        <w:rPr>
          <w:sz w:val="24"/>
        </w:rPr>
        <w:t>Constantly overruling the person’s authority</w:t>
      </w:r>
    </w:p>
    <w:p w14:paraId="5C433A35" w14:textId="77777777" w:rsidR="001A4C68" w:rsidRDefault="001A4C68" w:rsidP="00557907">
      <w:pPr>
        <w:numPr>
          <w:ilvl w:val="0"/>
          <w:numId w:val="3"/>
        </w:numPr>
        <w:tabs>
          <w:tab w:val="clear" w:pos="360"/>
        </w:tabs>
        <w:ind w:left="1080"/>
        <w:rPr>
          <w:sz w:val="24"/>
        </w:rPr>
      </w:pPr>
      <w:r>
        <w:rPr>
          <w:sz w:val="24"/>
        </w:rPr>
        <w:t>Spreading malicious rumours about the individual</w:t>
      </w:r>
    </w:p>
    <w:p w14:paraId="1A1CDF7E" w14:textId="77777777" w:rsidR="001A4C68" w:rsidRDefault="001A4C68" w:rsidP="00557907">
      <w:pPr>
        <w:numPr>
          <w:ilvl w:val="0"/>
          <w:numId w:val="3"/>
        </w:numPr>
        <w:tabs>
          <w:tab w:val="clear" w:pos="360"/>
        </w:tabs>
        <w:ind w:left="1080"/>
        <w:rPr>
          <w:sz w:val="24"/>
        </w:rPr>
      </w:pPr>
      <w:r>
        <w:rPr>
          <w:sz w:val="24"/>
        </w:rPr>
        <w:t>Deliberately withholding information which the person requires in order to do their job effectively</w:t>
      </w:r>
    </w:p>
    <w:p w14:paraId="60B6AF40" w14:textId="77777777" w:rsidR="001A4C68" w:rsidRDefault="001A4C68" w:rsidP="00557907">
      <w:pPr>
        <w:numPr>
          <w:ilvl w:val="0"/>
          <w:numId w:val="3"/>
        </w:numPr>
        <w:tabs>
          <w:tab w:val="clear" w:pos="360"/>
        </w:tabs>
        <w:ind w:left="1080"/>
        <w:rPr>
          <w:sz w:val="24"/>
        </w:rPr>
      </w:pPr>
      <w:r>
        <w:rPr>
          <w:sz w:val="24"/>
        </w:rPr>
        <w:t>Terror tactics, open aggression, threats, shouting abuse, obscenities towards their target</w:t>
      </w:r>
    </w:p>
    <w:p w14:paraId="5B6E1938" w14:textId="77777777" w:rsidR="001A4C68" w:rsidRDefault="001A4C68" w:rsidP="00557907">
      <w:pPr>
        <w:numPr>
          <w:ilvl w:val="0"/>
          <w:numId w:val="3"/>
        </w:numPr>
        <w:tabs>
          <w:tab w:val="clear" w:pos="360"/>
        </w:tabs>
        <w:ind w:left="1080"/>
        <w:rPr>
          <w:sz w:val="24"/>
        </w:rPr>
      </w:pPr>
      <w:r>
        <w:rPr>
          <w:sz w:val="24"/>
        </w:rPr>
        <w:t>Singling out the person</w:t>
      </w:r>
    </w:p>
    <w:p w14:paraId="29CA538F" w14:textId="77777777" w:rsidR="001A4C68" w:rsidRDefault="001A4C68" w:rsidP="001A4C68">
      <w:pPr>
        <w:rPr>
          <w:sz w:val="24"/>
        </w:rPr>
      </w:pPr>
    </w:p>
    <w:p w14:paraId="51F46319" w14:textId="77777777" w:rsidR="001A4C68" w:rsidRDefault="001A4C68" w:rsidP="001A4C68">
      <w:pPr>
        <w:ind w:left="720"/>
        <w:rPr>
          <w:sz w:val="24"/>
        </w:rPr>
      </w:pPr>
    </w:p>
    <w:p w14:paraId="278AA13B" w14:textId="77777777" w:rsidR="001A4C68" w:rsidRDefault="004F7796" w:rsidP="00237BF2">
      <w:pPr>
        <w:numPr>
          <w:ilvl w:val="0"/>
          <w:numId w:val="1"/>
        </w:numPr>
        <w:rPr>
          <w:rFonts w:ascii="Arial" w:hAnsi="Arial" w:cs="Arial"/>
          <w:b/>
          <w:sz w:val="24"/>
          <w:szCs w:val="24"/>
        </w:rPr>
      </w:pPr>
      <w:r>
        <w:rPr>
          <w:rFonts w:ascii="Arial" w:hAnsi="Arial" w:cs="Arial"/>
          <w:b/>
          <w:sz w:val="24"/>
          <w:szCs w:val="24"/>
        </w:rPr>
        <w:t>Reference</w:t>
      </w:r>
    </w:p>
    <w:p w14:paraId="0C582489" w14:textId="77777777" w:rsidR="004F7796" w:rsidRDefault="004F7796" w:rsidP="004F7796">
      <w:pPr>
        <w:rPr>
          <w:sz w:val="24"/>
          <w:szCs w:val="24"/>
        </w:rPr>
      </w:pPr>
      <w:r>
        <w:rPr>
          <w:sz w:val="24"/>
          <w:szCs w:val="24"/>
        </w:rPr>
        <w:t>3SS09</w:t>
      </w:r>
      <w:r>
        <w:rPr>
          <w:sz w:val="24"/>
          <w:szCs w:val="24"/>
        </w:rPr>
        <w:tab/>
      </w:r>
      <w:r>
        <w:rPr>
          <w:sz w:val="24"/>
          <w:szCs w:val="24"/>
        </w:rPr>
        <w:tab/>
        <w:t>Student Appeals Board</w:t>
      </w:r>
    </w:p>
    <w:p w14:paraId="2C7E55EA" w14:textId="77777777" w:rsidR="004F7796" w:rsidRDefault="004F7796" w:rsidP="004F7796">
      <w:pPr>
        <w:rPr>
          <w:rFonts w:ascii="Arial" w:hAnsi="Arial" w:cs="Arial"/>
          <w:b/>
          <w:sz w:val="24"/>
          <w:szCs w:val="24"/>
        </w:rPr>
      </w:pPr>
    </w:p>
    <w:p w14:paraId="05B2CA0D" w14:textId="77777777" w:rsidR="004F7796" w:rsidRDefault="004F7796" w:rsidP="004F7796">
      <w:pPr>
        <w:numPr>
          <w:ilvl w:val="0"/>
          <w:numId w:val="1"/>
        </w:numPr>
        <w:rPr>
          <w:rFonts w:ascii="Arial" w:hAnsi="Arial" w:cs="Arial"/>
          <w:b/>
          <w:sz w:val="24"/>
          <w:szCs w:val="24"/>
        </w:rPr>
      </w:pPr>
      <w:r>
        <w:rPr>
          <w:rFonts w:ascii="Arial" w:hAnsi="Arial" w:cs="Arial"/>
          <w:b/>
          <w:sz w:val="24"/>
          <w:szCs w:val="24"/>
        </w:rPr>
        <w:t>Policy</w:t>
      </w:r>
    </w:p>
    <w:p w14:paraId="36FE189C" w14:textId="77777777" w:rsidR="00237BF2" w:rsidRPr="004F7796" w:rsidRDefault="00237BF2" w:rsidP="004F7796">
      <w:pPr>
        <w:pStyle w:val="BodyTextIndent"/>
        <w:numPr>
          <w:ilvl w:val="0"/>
          <w:numId w:val="13"/>
        </w:numPr>
        <w:spacing w:before="60" w:after="60"/>
        <w:rPr>
          <w:sz w:val="24"/>
          <w:szCs w:val="24"/>
        </w:rPr>
      </w:pPr>
      <w:r w:rsidRPr="00A53C62">
        <w:rPr>
          <w:sz w:val="24"/>
          <w:szCs w:val="24"/>
        </w:rPr>
        <w:t xml:space="preserve">The Institute recognises the right of every student to work in an atmosphere free of harassment and intimation, that promotes personal integrity and dignity.  It is Institute policy to take appropriate steps to promote such a working environment.  </w:t>
      </w:r>
    </w:p>
    <w:p w14:paraId="4D02E1E0" w14:textId="77777777" w:rsidR="00237BF2" w:rsidRPr="004F7796" w:rsidRDefault="00237BF2" w:rsidP="004F7796">
      <w:pPr>
        <w:pStyle w:val="BodyTextIndent"/>
        <w:numPr>
          <w:ilvl w:val="0"/>
          <w:numId w:val="13"/>
        </w:numPr>
        <w:spacing w:before="60" w:after="60"/>
        <w:rPr>
          <w:sz w:val="24"/>
          <w:szCs w:val="24"/>
        </w:rPr>
      </w:pPr>
      <w:r w:rsidRPr="004F7796">
        <w:rPr>
          <w:sz w:val="24"/>
          <w:szCs w:val="24"/>
        </w:rPr>
        <w:t>The Institute is committed to ensuring equality of opportunity for all staff and students, regardless or their gender, marital status, family status, race, disability, age, sexual orientation, nationality, religion or membership of the traveller community.  All members of the staff and student population are entitled to be treated with courtesy and respect by others.</w:t>
      </w:r>
    </w:p>
    <w:p w14:paraId="02A039FA" w14:textId="77777777" w:rsidR="00237BF2" w:rsidRPr="004F7796" w:rsidRDefault="00237BF2" w:rsidP="004F7796">
      <w:pPr>
        <w:pStyle w:val="BodyTextIndent"/>
        <w:numPr>
          <w:ilvl w:val="0"/>
          <w:numId w:val="13"/>
        </w:numPr>
        <w:spacing w:before="60" w:after="60"/>
        <w:rPr>
          <w:sz w:val="24"/>
          <w:szCs w:val="24"/>
        </w:rPr>
      </w:pPr>
      <w:r w:rsidRPr="004F7796">
        <w:rPr>
          <w:sz w:val="24"/>
          <w:szCs w:val="24"/>
        </w:rPr>
        <w:t>The Institute is committed to providing a working and learning environment that is free of harassment based on gender or sex</w:t>
      </w:r>
      <w:r w:rsidR="004F7796">
        <w:rPr>
          <w:sz w:val="24"/>
          <w:szCs w:val="24"/>
        </w:rPr>
        <w:t>ual orientation</w:t>
      </w:r>
      <w:r w:rsidRPr="004F7796">
        <w:rPr>
          <w:sz w:val="24"/>
          <w:szCs w:val="24"/>
        </w:rPr>
        <w:t>.  It is strictly against the policies of this Institute for any employee or student to harass a member of staff or a student.  Harassment can seriously harm working and social conditions for staff and students at the Institute.  Such conduct will not be tolerated and it is important that everybody is aware that they have the right to complain should they feel that harassment has occurred or is occurring.  All employees and students are expected to comply with this policy and ensure that such conduct does not occur.  Incidents of harassment will be regarded very seriously and can be grounds for disciplinary action which may include dismissal or expulsion.</w:t>
      </w:r>
    </w:p>
    <w:p w14:paraId="57DCD900" w14:textId="77777777" w:rsidR="00237BF2" w:rsidRPr="001A4C68" w:rsidRDefault="00237BF2" w:rsidP="00237BF2">
      <w:pPr>
        <w:rPr>
          <w:rFonts w:ascii="Arial" w:hAnsi="Arial" w:cs="Arial"/>
          <w:b/>
          <w:sz w:val="28"/>
        </w:rPr>
      </w:pPr>
    </w:p>
    <w:p w14:paraId="4E7DC325" w14:textId="77777777" w:rsidR="001A4C68" w:rsidRPr="001A4C68" w:rsidRDefault="001A4C68" w:rsidP="004F7796">
      <w:pPr>
        <w:pStyle w:val="BodyTextIndent"/>
        <w:numPr>
          <w:ilvl w:val="0"/>
          <w:numId w:val="13"/>
        </w:numPr>
        <w:spacing w:before="60" w:after="60"/>
        <w:rPr>
          <w:sz w:val="24"/>
          <w:szCs w:val="24"/>
        </w:rPr>
      </w:pPr>
      <w:r w:rsidRPr="001A4C68">
        <w:rPr>
          <w:sz w:val="24"/>
          <w:szCs w:val="24"/>
        </w:rPr>
        <w:t>Students can raise a complaint of harassment through the grievance procedure documented below.</w:t>
      </w:r>
    </w:p>
    <w:p w14:paraId="49B453BC" w14:textId="77777777" w:rsidR="001A4C68" w:rsidRPr="001A4C68" w:rsidRDefault="001A4C68" w:rsidP="004F7796">
      <w:pPr>
        <w:pStyle w:val="BodyTextIndent"/>
        <w:numPr>
          <w:ilvl w:val="0"/>
          <w:numId w:val="13"/>
        </w:numPr>
        <w:spacing w:before="60" w:after="60"/>
        <w:rPr>
          <w:sz w:val="24"/>
          <w:szCs w:val="24"/>
        </w:rPr>
      </w:pPr>
      <w:r w:rsidRPr="001A4C68">
        <w:rPr>
          <w:sz w:val="24"/>
          <w:szCs w:val="24"/>
        </w:rPr>
        <w:t>Wherever possible, a person who believes that he or she has been  the subject of harassment should in the first instance approach a neutral person for advice and support.  It may be possible to ask the person responsible to stop the harassing behaviour.  In some cases it may be possible and sufficient for the victim of the harassment to explain clearly to the person engaging in the unwanted activities that such behaviour is not welcome, that it is offensive, distressing and it is disrupting his or her work.  However, it does not constitute consent to harassment if a person feels unable to do this.</w:t>
      </w:r>
    </w:p>
    <w:p w14:paraId="25FD1F5A" w14:textId="77777777" w:rsidR="001A4C68" w:rsidRPr="001A4C68" w:rsidRDefault="001A4C68" w:rsidP="004F7796">
      <w:pPr>
        <w:pStyle w:val="BodyTextIndent"/>
        <w:numPr>
          <w:ilvl w:val="0"/>
          <w:numId w:val="13"/>
        </w:numPr>
        <w:spacing w:before="60" w:after="60"/>
        <w:rPr>
          <w:sz w:val="24"/>
          <w:szCs w:val="24"/>
        </w:rPr>
      </w:pPr>
      <w:r w:rsidRPr="001A4C68">
        <w:rPr>
          <w:sz w:val="24"/>
          <w:szCs w:val="24"/>
        </w:rPr>
        <w:t>In circumstances where it is too difficult or embarrassing for an individual to approach the harasser on their own behalf, the initial approach to the alleged harasser can be made by a sympathetic and trusted colleague.</w:t>
      </w:r>
    </w:p>
    <w:p w14:paraId="7AA8812E" w14:textId="77777777" w:rsidR="001A4C68" w:rsidRPr="001A4C68" w:rsidRDefault="001A4C68" w:rsidP="004F7796">
      <w:pPr>
        <w:pStyle w:val="BodyTextIndent"/>
        <w:numPr>
          <w:ilvl w:val="0"/>
          <w:numId w:val="13"/>
        </w:numPr>
        <w:spacing w:before="60" w:after="60"/>
        <w:rPr>
          <w:sz w:val="24"/>
          <w:szCs w:val="24"/>
        </w:rPr>
      </w:pPr>
      <w:r w:rsidRPr="001A4C68">
        <w:rPr>
          <w:sz w:val="24"/>
          <w:szCs w:val="24"/>
        </w:rPr>
        <w:t xml:space="preserve">If the alleged harassment continues, the student should report the alleged act to one of the nominated contact people (see below).  If in particular circumstances this stage is unsuitable (for example if the alleged harasser is the relevant line manager), the Student should report the alleged act to the Registrar or in his/her absence to the </w:t>
      </w:r>
      <w:r w:rsidR="00312CD7">
        <w:rPr>
          <w:sz w:val="24"/>
          <w:szCs w:val="24"/>
        </w:rPr>
        <w:t>President</w:t>
      </w:r>
      <w:r w:rsidRPr="001A4C68">
        <w:rPr>
          <w:sz w:val="24"/>
          <w:szCs w:val="24"/>
        </w:rPr>
        <w:t>.</w:t>
      </w:r>
    </w:p>
    <w:p w14:paraId="2D70B879" w14:textId="77777777" w:rsidR="001A4C68" w:rsidRPr="001A4C68" w:rsidRDefault="001A4C68" w:rsidP="004F7796">
      <w:pPr>
        <w:pStyle w:val="BodyTextIndent"/>
        <w:numPr>
          <w:ilvl w:val="0"/>
          <w:numId w:val="13"/>
        </w:numPr>
        <w:spacing w:before="60" w:after="60"/>
        <w:rPr>
          <w:sz w:val="24"/>
          <w:szCs w:val="24"/>
        </w:rPr>
      </w:pPr>
      <w:r w:rsidRPr="001A4C68">
        <w:rPr>
          <w:sz w:val="24"/>
          <w:szCs w:val="24"/>
        </w:rPr>
        <w:t>When a complaint of harassment of bullying is brought to the attention of the appropriate person by a student, a formal investigation of the complaint will be undertaken by the Registrar’s Office.  In cases where complaints are verified, disciplinary action will be taken against the offending party(s).</w:t>
      </w:r>
    </w:p>
    <w:p w14:paraId="5861D00C" w14:textId="77777777" w:rsidR="001A4C68" w:rsidRPr="001A4C68" w:rsidRDefault="001A4C68" w:rsidP="004F7796">
      <w:pPr>
        <w:pStyle w:val="BodyTextIndent"/>
        <w:numPr>
          <w:ilvl w:val="0"/>
          <w:numId w:val="13"/>
        </w:numPr>
        <w:spacing w:before="60" w:after="60"/>
        <w:rPr>
          <w:sz w:val="24"/>
          <w:szCs w:val="24"/>
        </w:rPr>
      </w:pPr>
      <w:r w:rsidRPr="001A4C68">
        <w:rPr>
          <w:sz w:val="24"/>
          <w:szCs w:val="24"/>
        </w:rPr>
        <w:t>In all cases, the person reporting the alleged act must be prepared to provide full information in order that the incident(s) may be fully investigated.</w:t>
      </w:r>
    </w:p>
    <w:p w14:paraId="3B775140" w14:textId="77777777" w:rsidR="001A4C68" w:rsidRPr="004F7796" w:rsidRDefault="001A4C68" w:rsidP="00557907">
      <w:pPr>
        <w:numPr>
          <w:ilvl w:val="0"/>
          <w:numId w:val="1"/>
        </w:numPr>
        <w:spacing w:before="240" w:after="120"/>
        <w:ind w:left="357" w:hanging="357"/>
        <w:rPr>
          <w:rFonts w:ascii="Arial" w:hAnsi="Arial" w:cs="Arial"/>
          <w:b/>
          <w:sz w:val="24"/>
          <w:szCs w:val="24"/>
        </w:rPr>
      </w:pPr>
      <w:r w:rsidRPr="001A4C68">
        <w:rPr>
          <w:rFonts w:ascii="Arial" w:hAnsi="Arial" w:cs="Arial"/>
          <w:b/>
          <w:sz w:val="24"/>
          <w:szCs w:val="24"/>
        </w:rPr>
        <w:t xml:space="preserve">Procedure </w:t>
      </w:r>
      <w:r w:rsidR="00096210">
        <w:rPr>
          <w:rFonts w:ascii="Arial" w:hAnsi="Arial" w:cs="Arial"/>
          <w:b/>
          <w:sz w:val="24"/>
          <w:szCs w:val="24"/>
        </w:rPr>
        <w:t>S</w:t>
      </w:r>
      <w:r w:rsidRPr="001A4C68">
        <w:rPr>
          <w:rFonts w:ascii="Arial" w:hAnsi="Arial" w:cs="Arial"/>
          <w:b/>
          <w:sz w:val="24"/>
          <w:szCs w:val="24"/>
        </w:rPr>
        <w:t>tages</w:t>
      </w:r>
    </w:p>
    <w:p w14:paraId="6B74C583" w14:textId="77777777" w:rsidR="001A4C68" w:rsidRPr="001A4C68" w:rsidRDefault="001A4C68" w:rsidP="001A4C68">
      <w:pPr>
        <w:pStyle w:val="BodyTextIndent2"/>
        <w:numPr>
          <w:ilvl w:val="0"/>
          <w:numId w:val="4"/>
        </w:numPr>
        <w:spacing w:after="240" w:line="240" w:lineRule="auto"/>
        <w:rPr>
          <w:sz w:val="24"/>
          <w:szCs w:val="24"/>
        </w:rPr>
      </w:pPr>
      <w:r w:rsidRPr="001A4C68">
        <w:rPr>
          <w:sz w:val="24"/>
          <w:szCs w:val="24"/>
        </w:rPr>
        <w:t xml:space="preserve">Before making a formal complain, a student who feels subjected to harassment is advised to consult one of the contact persons appointed by the </w:t>
      </w:r>
      <w:r w:rsidR="00312CD7">
        <w:rPr>
          <w:sz w:val="24"/>
          <w:szCs w:val="24"/>
        </w:rPr>
        <w:t>President</w:t>
      </w:r>
      <w:r w:rsidRPr="001A4C68">
        <w:rPr>
          <w:sz w:val="24"/>
          <w:szCs w:val="24"/>
        </w:rPr>
        <w:t xml:space="preserve"> to advise on alleged incidents of harassment in an informal way.  Consultation with a contact person is strictly confidential and no further action will be taken without the consent of the complainant.</w:t>
      </w:r>
    </w:p>
    <w:p w14:paraId="79CA1471" w14:textId="77777777" w:rsidR="001A4C68" w:rsidRPr="001A4C68" w:rsidRDefault="001A4C68" w:rsidP="001A4C68">
      <w:pPr>
        <w:numPr>
          <w:ilvl w:val="0"/>
          <w:numId w:val="4"/>
        </w:numPr>
        <w:spacing w:after="240"/>
        <w:rPr>
          <w:sz w:val="24"/>
          <w:szCs w:val="24"/>
        </w:rPr>
      </w:pPr>
      <w:r w:rsidRPr="001A4C68">
        <w:rPr>
          <w:sz w:val="24"/>
          <w:szCs w:val="24"/>
        </w:rPr>
        <w:t>If a direct approach to the alleged harasser fails to halt the harassment, or is not appropriate, the person should report the alleged act to a senior memb</w:t>
      </w:r>
      <w:r w:rsidR="004F7796">
        <w:rPr>
          <w:sz w:val="24"/>
          <w:szCs w:val="24"/>
        </w:rPr>
        <w:t xml:space="preserve">er of staff, as detailed </w:t>
      </w:r>
      <w:r w:rsidRPr="001A4C68">
        <w:rPr>
          <w:sz w:val="24"/>
          <w:szCs w:val="24"/>
        </w:rPr>
        <w:t>above.  The person may formally request an interview with the senior member of staff.  This meeting will normally be arranged within five days from receipt of the request.</w:t>
      </w:r>
    </w:p>
    <w:p w14:paraId="587F3BF2" w14:textId="77777777" w:rsidR="001A4C68" w:rsidRPr="001A4C68" w:rsidRDefault="001A4C68" w:rsidP="001A4C68">
      <w:pPr>
        <w:pStyle w:val="BodyText"/>
        <w:numPr>
          <w:ilvl w:val="0"/>
          <w:numId w:val="4"/>
        </w:numPr>
        <w:spacing w:after="240"/>
        <w:rPr>
          <w:sz w:val="24"/>
          <w:szCs w:val="24"/>
        </w:rPr>
      </w:pPr>
      <w:r w:rsidRPr="001A4C68">
        <w:rPr>
          <w:sz w:val="24"/>
          <w:szCs w:val="24"/>
        </w:rPr>
        <w:t xml:space="preserve">If the alleged harassment is of a serious nature, a contact person will assist the complainant to make a formal complaint.  Formal complaints of harassment should be made in writing to the Registrar of the Institute.  Formal complaints so made should include the identity of the offender(s) and the general nature of the complaint. </w:t>
      </w:r>
      <w:r w:rsidRPr="001A4C68">
        <w:rPr>
          <w:sz w:val="24"/>
          <w:szCs w:val="24"/>
        </w:rPr>
        <w:lastRenderedPageBreak/>
        <w:t xml:space="preserve">Complaints should be addressed to : Registrar, </w:t>
      </w:r>
      <w:smartTag w:uri="urn:schemas-microsoft-com:office:smarttags" w:element="PlaceType">
        <w:r w:rsidRPr="001A4C68">
          <w:rPr>
            <w:sz w:val="24"/>
            <w:szCs w:val="24"/>
          </w:rPr>
          <w:t>Institute</w:t>
        </w:r>
      </w:smartTag>
      <w:r w:rsidRPr="001A4C68">
        <w:rPr>
          <w:sz w:val="24"/>
          <w:szCs w:val="24"/>
        </w:rPr>
        <w:t xml:space="preserve"> of </w:t>
      </w:r>
      <w:smartTag w:uri="urn:schemas-microsoft-com:office:smarttags" w:element="PlaceName">
        <w:r w:rsidRPr="001A4C68">
          <w:rPr>
            <w:sz w:val="24"/>
            <w:szCs w:val="24"/>
          </w:rPr>
          <w:t>Technology</w:t>
        </w:r>
      </w:smartTag>
      <w:r w:rsidRPr="001A4C68">
        <w:rPr>
          <w:sz w:val="24"/>
          <w:szCs w:val="24"/>
        </w:rPr>
        <w:t xml:space="preserve">, Blanchardstown, </w:t>
      </w:r>
      <w:smartTag w:uri="urn:schemas-microsoft-com:office:smarttags" w:element="place">
        <w:smartTag w:uri="urn:schemas-microsoft-com:office:smarttags" w:element="City">
          <w:r w:rsidRPr="001A4C68">
            <w:rPr>
              <w:sz w:val="24"/>
              <w:szCs w:val="24"/>
            </w:rPr>
            <w:t>Dublin</w:t>
          </w:r>
        </w:smartTag>
      </w:smartTag>
      <w:r w:rsidRPr="001A4C68">
        <w:rPr>
          <w:sz w:val="24"/>
          <w:szCs w:val="24"/>
        </w:rPr>
        <w:t xml:space="preserve"> 15, marking the envelope as ‘Confidential’.  A reply will be issued to written complaints within five working days.</w:t>
      </w:r>
    </w:p>
    <w:p w14:paraId="242B875C" w14:textId="77777777" w:rsidR="001A4C68" w:rsidRDefault="001A4C68" w:rsidP="001A4C68">
      <w:pPr>
        <w:pStyle w:val="BodyText"/>
        <w:numPr>
          <w:ilvl w:val="0"/>
          <w:numId w:val="4"/>
        </w:numPr>
        <w:spacing w:after="240"/>
        <w:rPr>
          <w:sz w:val="24"/>
          <w:szCs w:val="24"/>
        </w:rPr>
      </w:pPr>
      <w:r w:rsidRPr="001A4C68">
        <w:rPr>
          <w:sz w:val="24"/>
          <w:szCs w:val="24"/>
        </w:rPr>
        <w:t>The Registrar will appoint a senior member of the Institute to deal with each formal complaint of harassment.  This person will deal with the matter with the minimum of delay and will maintain the maximum possible degree of confidentiality throughout the procedure.  The principles of natural justice will apply and the rights of both the complainant and of the alleged harasser will be given due regard.  Malicious or frivolous complaints may result in disciplinary action against the complainant.</w:t>
      </w:r>
    </w:p>
    <w:p w14:paraId="34F4A319" w14:textId="77777777" w:rsidR="001A4C68" w:rsidRPr="001A4C68" w:rsidRDefault="001A4C68" w:rsidP="001A4C68">
      <w:pPr>
        <w:pStyle w:val="BodyText"/>
        <w:numPr>
          <w:ilvl w:val="0"/>
          <w:numId w:val="4"/>
        </w:numPr>
        <w:spacing w:after="240"/>
        <w:rPr>
          <w:sz w:val="24"/>
          <w:szCs w:val="24"/>
        </w:rPr>
      </w:pPr>
      <w:r w:rsidRPr="001A4C68">
        <w:rPr>
          <w:sz w:val="24"/>
          <w:szCs w:val="24"/>
        </w:rPr>
        <w:t xml:space="preserve">The </w:t>
      </w:r>
      <w:r w:rsidR="00312CD7">
        <w:rPr>
          <w:sz w:val="24"/>
          <w:szCs w:val="24"/>
        </w:rPr>
        <w:t>President</w:t>
      </w:r>
      <w:r w:rsidRPr="001A4C68">
        <w:rPr>
          <w:sz w:val="24"/>
          <w:szCs w:val="24"/>
        </w:rPr>
        <w:t xml:space="preserve"> will arrange to meet the complainant, in the presence of a colleague, if desired.  This will normally occur within five working days of receipt of notification, no later than ten working days after the meeting, the complainant will be advised in writing of the </w:t>
      </w:r>
      <w:r w:rsidR="00312CD7">
        <w:rPr>
          <w:sz w:val="24"/>
          <w:szCs w:val="24"/>
        </w:rPr>
        <w:t>President</w:t>
      </w:r>
      <w:r w:rsidRPr="001A4C68">
        <w:rPr>
          <w:sz w:val="24"/>
          <w:szCs w:val="24"/>
        </w:rPr>
        <w:t>s response to the complaint.   This may include a request for further information or an acceptance or rejection of the grievances or to call a further meeting which will be arranged as soon as possible.</w:t>
      </w:r>
    </w:p>
    <w:p w14:paraId="2821C548" w14:textId="77777777" w:rsidR="001A4C68" w:rsidRPr="001A4C68" w:rsidRDefault="001A4C68" w:rsidP="00255389">
      <w:pPr>
        <w:pStyle w:val="BodyText"/>
        <w:numPr>
          <w:ilvl w:val="0"/>
          <w:numId w:val="4"/>
        </w:numPr>
        <w:spacing w:after="240"/>
        <w:rPr>
          <w:sz w:val="24"/>
          <w:szCs w:val="24"/>
        </w:rPr>
      </w:pPr>
      <w:r w:rsidRPr="001A4C68">
        <w:rPr>
          <w:sz w:val="24"/>
          <w:szCs w:val="24"/>
        </w:rPr>
        <w:t xml:space="preserve">If the complainant feels that the complaint has not been dealt with in a satisfactory way, the senior member of staff should be informed.  They will then refer the matter to the </w:t>
      </w:r>
      <w:r w:rsidR="00312CD7">
        <w:rPr>
          <w:sz w:val="24"/>
          <w:szCs w:val="24"/>
        </w:rPr>
        <w:t>President</w:t>
      </w:r>
      <w:r w:rsidRPr="001A4C68">
        <w:rPr>
          <w:sz w:val="24"/>
          <w:szCs w:val="24"/>
        </w:rPr>
        <w:t xml:space="preserve"> for consideration.</w:t>
      </w:r>
    </w:p>
    <w:p w14:paraId="329A34C6" w14:textId="77777777" w:rsidR="00A53C62" w:rsidRPr="00096210" w:rsidRDefault="00A53C62" w:rsidP="00557907">
      <w:pPr>
        <w:numPr>
          <w:ilvl w:val="0"/>
          <w:numId w:val="1"/>
        </w:numPr>
        <w:spacing w:before="240" w:after="120"/>
        <w:ind w:left="357" w:hanging="357"/>
        <w:rPr>
          <w:rFonts w:ascii="Arial" w:hAnsi="Arial" w:cs="Arial"/>
          <w:b/>
          <w:sz w:val="24"/>
          <w:szCs w:val="24"/>
        </w:rPr>
      </w:pPr>
      <w:r w:rsidRPr="00096210">
        <w:rPr>
          <w:rFonts w:ascii="Arial" w:hAnsi="Arial" w:cs="Arial"/>
          <w:b/>
          <w:sz w:val="24"/>
          <w:szCs w:val="24"/>
        </w:rPr>
        <w:t>Appeals Procedure</w:t>
      </w:r>
    </w:p>
    <w:p w14:paraId="60E74CB2" w14:textId="77777777" w:rsidR="00A53C62" w:rsidRPr="009A420C" w:rsidRDefault="00A53C62" w:rsidP="009A420C">
      <w:pPr>
        <w:pStyle w:val="BodyText"/>
        <w:numPr>
          <w:ilvl w:val="0"/>
          <w:numId w:val="5"/>
        </w:numPr>
        <w:spacing w:after="240"/>
        <w:rPr>
          <w:sz w:val="24"/>
          <w:szCs w:val="24"/>
        </w:rPr>
      </w:pPr>
      <w:r w:rsidRPr="009A420C">
        <w:rPr>
          <w:sz w:val="24"/>
          <w:szCs w:val="24"/>
        </w:rPr>
        <w:t xml:space="preserve">A student against whom a complaint of harassment is substantiated has the right to appeal to the Governing Body.  Should a person wish to appeal against the </w:t>
      </w:r>
      <w:r w:rsidR="00312CD7">
        <w:rPr>
          <w:sz w:val="24"/>
          <w:szCs w:val="24"/>
        </w:rPr>
        <w:t>President</w:t>
      </w:r>
      <w:r w:rsidRPr="009A420C">
        <w:rPr>
          <w:sz w:val="24"/>
          <w:szCs w:val="24"/>
        </w:rPr>
        <w:t xml:space="preserve">’s decision, they should notify the </w:t>
      </w:r>
      <w:r w:rsidR="00312CD7">
        <w:rPr>
          <w:sz w:val="24"/>
          <w:szCs w:val="24"/>
        </w:rPr>
        <w:t>President</w:t>
      </w:r>
      <w:r w:rsidRPr="009A420C">
        <w:rPr>
          <w:sz w:val="24"/>
          <w:szCs w:val="24"/>
        </w:rPr>
        <w:t xml:space="preserve"> in writing within ten working days of receipt of the notification of that decision.  The </w:t>
      </w:r>
      <w:r w:rsidR="00312CD7">
        <w:rPr>
          <w:sz w:val="24"/>
          <w:szCs w:val="24"/>
        </w:rPr>
        <w:t>President</w:t>
      </w:r>
      <w:r w:rsidRPr="009A420C">
        <w:rPr>
          <w:sz w:val="24"/>
          <w:szCs w:val="24"/>
        </w:rPr>
        <w:t xml:space="preserve"> will then make a request to the Chairman of the G</w:t>
      </w:r>
      <w:r w:rsidR="004F7796">
        <w:rPr>
          <w:sz w:val="24"/>
          <w:szCs w:val="24"/>
        </w:rPr>
        <w:t>overning Body to set up a panel (Reference 3SS09).</w:t>
      </w:r>
    </w:p>
    <w:p w14:paraId="24762E6B" w14:textId="77777777" w:rsidR="00A53C62" w:rsidRPr="009A420C" w:rsidRDefault="00A53C62" w:rsidP="009A420C">
      <w:pPr>
        <w:pStyle w:val="BodyText"/>
        <w:numPr>
          <w:ilvl w:val="0"/>
          <w:numId w:val="5"/>
        </w:numPr>
        <w:spacing w:after="240"/>
        <w:rPr>
          <w:sz w:val="24"/>
          <w:szCs w:val="24"/>
        </w:rPr>
      </w:pPr>
      <w:r w:rsidRPr="009A420C">
        <w:rPr>
          <w:sz w:val="24"/>
          <w:szCs w:val="24"/>
        </w:rPr>
        <w:t xml:space="preserve">The Chairman of the Governing Body shall determine the date when the panel will meet to consider a report from the </w:t>
      </w:r>
      <w:r w:rsidR="00312CD7">
        <w:rPr>
          <w:sz w:val="24"/>
          <w:szCs w:val="24"/>
        </w:rPr>
        <w:t>President</w:t>
      </w:r>
      <w:r w:rsidRPr="009A420C">
        <w:rPr>
          <w:sz w:val="24"/>
          <w:szCs w:val="24"/>
        </w:rPr>
        <w:t xml:space="preserve">.  The panel shall consist of three members of the Governing Body but will not include any staff or student representatives or the </w:t>
      </w:r>
      <w:r w:rsidR="00312CD7">
        <w:rPr>
          <w:sz w:val="24"/>
          <w:szCs w:val="24"/>
        </w:rPr>
        <w:t>President</w:t>
      </w:r>
      <w:r w:rsidRPr="009A420C">
        <w:rPr>
          <w:sz w:val="24"/>
          <w:szCs w:val="24"/>
        </w:rPr>
        <w:t>.</w:t>
      </w:r>
    </w:p>
    <w:p w14:paraId="64DF8BF8" w14:textId="77777777" w:rsidR="00A53C62" w:rsidRPr="009A420C" w:rsidRDefault="00A53C62" w:rsidP="009A420C">
      <w:pPr>
        <w:pStyle w:val="BodyText"/>
        <w:numPr>
          <w:ilvl w:val="0"/>
          <w:numId w:val="5"/>
        </w:numPr>
        <w:spacing w:after="240"/>
        <w:rPr>
          <w:sz w:val="24"/>
          <w:szCs w:val="24"/>
        </w:rPr>
      </w:pPr>
      <w:r w:rsidRPr="009A420C">
        <w:rPr>
          <w:sz w:val="24"/>
          <w:szCs w:val="24"/>
        </w:rPr>
        <w:t>The panel will meet within twenty working days and will be responsible for making a final decision about the grievance.</w:t>
      </w:r>
    </w:p>
    <w:p w14:paraId="6F09A5C6" w14:textId="77777777" w:rsidR="009A420C" w:rsidRDefault="00A53C62" w:rsidP="009A420C">
      <w:pPr>
        <w:pStyle w:val="BodyText"/>
        <w:numPr>
          <w:ilvl w:val="0"/>
          <w:numId w:val="5"/>
        </w:numPr>
        <w:spacing w:after="240"/>
        <w:rPr>
          <w:sz w:val="24"/>
          <w:szCs w:val="24"/>
        </w:rPr>
      </w:pPr>
      <w:r w:rsidRPr="009A420C">
        <w:rPr>
          <w:sz w:val="24"/>
          <w:szCs w:val="24"/>
        </w:rPr>
        <w:t>As soon as possible, and in any case no later than ten working days after the meeting, the complainant will be advised in writing of the response to the complaint.</w:t>
      </w:r>
    </w:p>
    <w:p w14:paraId="6029805C" w14:textId="77777777" w:rsidR="00A53C62" w:rsidRPr="00096210" w:rsidRDefault="009A420C" w:rsidP="00557907">
      <w:pPr>
        <w:numPr>
          <w:ilvl w:val="0"/>
          <w:numId w:val="1"/>
        </w:numPr>
        <w:spacing w:before="240" w:after="120"/>
        <w:ind w:left="357" w:hanging="357"/>
        <w:rPr>
          <w:rFonts w:ascii="Arial" w:hAnsi="Arial" w:cs="Arial"/>
          <w:b/>
          <w:sz w:val="24"/>
          <w:szCs w:val="24"/>
        </w:rPr>
      </w:pPr>
      <w:r w:rsidRPr="00096210">
        <w:rPr>
          <w:rFonts w:ascii="Arial" w:hAnsi="Arial" w:cs="Arial"/>
          <w:b/>
          <w:sz w:val="24"/>
          <w:szCs w:val="24"/>
        </w:rPr>
        <w:t xml:space="preserve"> </w:t>
      </w:r>
      <w:r w:rsidR="00A53C62" w:rsidRPr="00096210">
        <w:rPr>
          <w:rFonts w:ascii="Arial" w:hAnsi="Arial" w:cs="Arial"/>
          <w:b/>
          <w:sz w:val="24"/>
          <w:szCs w:val="24"/>
        </w:rPr>
        <w:t>Supplementary Information</w:t>
      </w:r>
    </w:p>
    <w:p w14:paraId="332E24C3" w14:textId="77777777" w:rsidR="00A53C62" w:rsidRPr="009A420C" w:rsidRDefault="00A53C62" w:rsidP="009A420C">
      <w:pPr>
        <w:pStyle w:val="BodyText"/>
        <w:numPr>
          <w:ilvl w:val="0"/>
          <w:numId w:val="6"/>
        </w:numPr>
        <w:spacing w:after="240"/>
        <w:rPr>
          <w:sz w:val="24"/>
          <w:szCs w:val="24"/>
        </w:rPr>
      </w:pPr>
      <w:r w:rsidRPr="009A420C">
        <w:rPr>
          <w:sz w:val="24"/>
          <w:szCs w:val="24"/>
        </w:rPr>
        <w:t>The parties may by mutual agreement modify the time limits referred to in the above procedure.</w:t>
      </w:r>
    </w:p>
    <w:p w14:paraId="0C45106E" w14:textId="77777777" w:rsidR="00A53C62" w:rsidRDefault="00A53C62" w:rsidP="00096210">
      <w:pPr>
        <w:pStyle w:val="BodyText"/>
        <w:numPr>
          <w:ilvl w:val="0"/>
          <w:numId w:val="6"/>
        </w:numPr>
        <w:spacing w:after="240"/>
      </w:pPr>
      <w:r w:rsidRPr="009A420C">
        <w:rPr>
          <w:sz w:val="24"/>
          <w:szCs w:val="24"/>
        </w:rPr>
        <w:lastRenderedPageBreak/>
        <w:t>Any such party involved in a grievance may at any time seek the advice of a fellow student.  Any such party may attend and may be accompanied at any meeting by a fellow student.</w:t>
      </w:r>
    </w:p>
    <w:p w14:paraId="5093F94B" w14:textId="77777777" w:rsidR="00A53C62" w:rsidRPr="009A420C" w:rsidRDefault="00A53C62" w:rsidP="009A420C">
      <w:pPr>
        <w:pStyle w:val="BodyText"/>
        <w:numPr>
          <w:ilvl w:val="0"/>
          <w:numId w:val="6"/>
        </w:numPr>
        <w:spacing w:after="240"/>
        <w:rPr>
          <w:sz w:val="24"/>
          <w:szCs w:val="24"/>
        </w:rPr>
      </w:pPr>
      <w:r w:rsidRPr="009A420C">
        <w:rPr>
          <w:sz w:val="24"/>
          <w:szCs w:val="24"/>
        </w:rPr>
        <w:t>All complaints will be dealt with promptly, with sensitivity and in a strictly confidential manner having due regard to the rights of both the complainant and the accused.  In any investigation, the alleged offender shall be entitled to the same rights as are applicable in the Disciplinary Procedure.  If as a result of the investigation, the complaint is proved valid, the harasser will be subject to disciplinary action as outlined in the Institute Disciplinary Procedure.  In the case of serious offences, this may include dismissal or expulsion.</w:t>
      </w:r>
    </w:p>
    <w:p w14:paraId="57CF87F7" w14:textId="77777777" w:rsidR="00A53C62" w:rsidRPr="009A420C" w:rsidRDefault="00A53C62" w:rsidP="009A420C">
      <w:pPr>
        <w:pStyle w:val="BodyText"/>
        <w:numPr>
          <w:ilvl w:val="0"/>
          <w:numId w:val="6"/>
        </w:numPr>
        <w:spacing w:after="240"/>
        <w:rPr>
          <w:sz w:val="24"/>
          <w:szCs w:val="24"/>
        </w:rPr>
      </w:pPr>
      <w:r w:rsidRPr="009A420C">
        <w:rPr>
          <w:sz w:val="24"/>
          <w:szCs w:val="24"/>
        </w:rPr>
        <w:t>Individuals will be protected from intimidation or victimisation for raising a complaint or assisting in the presentation or investigation of the complaint.</w:t>
      </w:r>
    </w:p>
    <w:p w14:paraId="4F9FE0C7" w14:textId="77777777" w:rsidR="00A53C62" w:rsidRPr="00096210" w:rsidRDefault="00A53C62" w:rsidP="00557907">
      <w:pPr>
        <w:numPr>
          <w:ilvl w:val="0"/>
          <w:numId w:val="1"/>
        </w:numPr>
        <w:spacing w:before="240" w:after="120"/>
        <w:ind w:left="357" w:hanging="357"/>
        <w:rPr>
          <w:rFonts w:ascii="Arial" w:hAnsi="Arial" w:cs="Arial"/>
          <w:b/>
          <w:sz w:val="24"/>
          <w:szCs w:val="24"/>
        </w:rPr>
      </w:pPr>
      <w:r w:rsidRPr="00096210">
        <w:rPr>
          <w:rFonts w:ascii="Arial" w:hAnsi="Arial" w:cs="Arial"/>
          <w:b/>
          <w:sz w:val="24"/>
          <w:szCs w:val="24"/>
        </w:rPr>
        <w:t>Contact Persons</w:t>
      </w:r>
    </w:p>
    <w:p w14:paraId="437F0829" w14:textId="77777777" w:rsidR="00A53C62" w:rsidRDefault="00A53C62" w:rsidP="00096210">
      <w:pPr>
        <w:pStyle w:val="BodyText"/>
        <w:spacing w:after="240"/>
        <w:ind w:left="426"/>
        <w:rPr>
          <w:sz w:val="24"/>
          <w:szCs w:val="24"/>
        </w:rPr>
      </w:pPr>
      <w:r w:rsidRPr="009A420C">
        <w:rPr>
          <w:sz w:val="24"/>
          <w:szCs w:val="24"/>
        </w:rPr>
        <w:t xml:space="preserve">The following designated contact persons have been </w:t>
      </w:r>
      <w:r w:rsidR="008B644F">
        <w:rPr>
          <w:sz w:val="24"/>
          <w:szCs w:val="24"/>
        </w:rPr>
        <w:t>trained</w:t>
      </w:r>
      <w:r w:rsidRPr="009A420C">
        <w:rPr>
          <w:sz w:val="24"/>
          <w:szCs w:val="24"/>
        </w:rPr>
        <w:t xml:space="preserve"> to advise and help deal with complaints of sexual harassment:</w:t>
      </w:r>
    </w:p>
    <w:p w14:paraId="7B68ECE0" w14:textId="77777777" w:rsidR="00156817" w:rsidRDefault="00156817" w:rsidP="00096210">
      <w:pPr>
        <w:pStyle w:val="BodyText"/>
        <w:numPr>
          <w:ilvl w:val="0"/>
          <w:numId w:val="7"/>
        </w:numPr>
        <w:spacing w:after="240"/>
        <w:rPr>
          <w:sz w:val="24"/>
          <w:szCs w:val="24"/>
        </w:rPr>
      </w:pPr>
      <w:r>
        <w:rPr>
          <w:sz w:val="24"/>
          <w:szCs w:val="24"/>
        </w:rPr>
        <w:t>Maria Brown</w:t>
      </w:r>
      <w:r>
        <w:rPr>
          <w:sz w:val="24"/>
          <w:szCs w:val="24"/>
        </w:rPr>
        <w:tab/>
      </w:r>
      <w:r>
        <w:rPr>
          <w:sz w:val="24"/>
          <w:szCs w:val="24"/>
        </w:rPr>
        <w:tab/>
      </w:r>
      <w:r>
        <w:rPr>
          <w:sz w:val="24"/>
          <w:szCs w:val="24"/>
        </w:rPr>
        <w:tab/>
        <w:t>Ext 1025</w:t>
      </w:r>
    </w:p>
    <w:p w14:paraId="0354415E" w14:textId="77777777" w:rsidR="00A53C62" w:rsidRPr="009A420C" w:rsidRDefault="00E80AE2" w:rsidP="00096210">
      <w:pPr>
        <w:pStyle w:val="BodyText"/>
        <w:numPr>
          <w:ilvl w:val="0"/>
          <w:numId w:val="7"/>
        </w:numPr>
        <w:spacing w:after="240"/>
        <w:rPr>
          <w:sz w:val="24"/>
          <w:szCs w:val="24"/>
        </w:rPr>
      </w:pPr>
      <w:r>
        <w:rPr>
          <w:sz w:val="24"/>
          <w:szCs w:val="24"/>
        </w:rPr>
        <w:t>Michelle Looby</w:t>
      </w:r>
      <w:r>
        <w:rPr>
          <w:sz w:val="24"/>
          <w:szCs w:val="24"/>
        </w:rPr>
        <w:tab/>
      </w:r>
      <w:r>
        <w:rPr>
          <w:sz w:val="24"/>
          <w:szCs w:val="24"/>
        </w:rPr>
        <w:tab/>
        <w:t>Ext</w:t>
      </w:r>
      <w:r w:rsidR="008B644F">
        <w:rPr>
          <w:sz w:val="24"/>
          <w:szCs w:val="24"/>
        </w:rPr>
        <w:t xml:space="preserve"> </w:t>
      </w:r>
      <w:r>
        <w:rPr>
          <w:sz w:val="24"/>
          <w:szCs w:val="24"/>
        </w:rPr>
        <w:t xml:space="preserve">1092 </w:t>
      </w:r>
    </w:p>
    <w:p w14:paraId="525C6D84" w14:textId="77777777" w:rsidR="00A53C62" w:rsidRPr="009A420C" w:rsidRDefault="00E80AE2" w:rsidP="009A420C">
      <w:pPr>
        <w:pStyle w:val="BodyText"/>
        <w:numPr>
          <w:ilvl w:val="0"/>
          <w:numId w:val="7"/>
        </w:numPr>
        <w:spacing w:after="240"/>
        <w:rPr>
          <w:sz w:val="24"/>
          <w:szCs w:val="24"/>
        </w:rPr>
      </w:pPr>
      <w:r>
        <w:rPr>
          <w:sz w:val="24"/>
          <w:szCs w:val="24"/>
        </w:rPr>
        <w:t>Ronan Keaskin</w:t>
      </w:r>
      <w:r>
        <w:rPr>
          <w:sz w:val="24"/>
          <w:szCs w:val="24"/>
        </w:rPr>
        <w:tab/>
      </w:r>
      <w:r>
        <w:rPr>
          <w:sz w:val="24"/>
          <w:szCs w:val="24"/>
        </w:rPr>
        <w:tab/>
        <w:t>Ext</w:t>
      </w:r>
      <w:r w:rsidR="008B644F">
        <w:rPr>
          <w:sz w:val="24"/>
          <w:szCs w:val="24"/>
        </w:rPr>
        <w:t xml:space="preserve"> </w:t>
      </w:r>
      <w:r>
        <w:rPr>
          <w:sz w:val="24"/>
          <w:szCs w:val="24"/>
        </w:rPr>
        <w:t>1153</w:t>
      </w:r>
    </w:p>
    <w:p w14:paraId="3EE24DE7" w14:textId="77777777" w:rsidR="00A53C62" w:rsidRDefault="00E80AE2" w:rsidP="009A420C">
      <w:pPr>
        <w:pStyle w:val="BodyText"/>
        <w:numPr>
          <w:ilvl w:val="0"/>
          <w:numId w:val="7"/>
        </w:numPr>
        <w:spacing w:after="240"/>
        <w:rPr>
          <w:sz w:val="24"/>
          <w:szCs w:val="24"/>
        </w:rPr>
      </w:pPr>
      <w:r>
        <w:rPr>
          <w:sz w:val="24"/>
          <w:szCs w:val="24"/>
        </w:rPr>
        <w:t>Nathalie Cazaux</w:t>
      </w:r>
      <w:r>
        <w:rPr>
          <w:sz w:val="24"/>
          <w:szCs w:val="24"/>
        </w:rPr>
        <w:tab/>
      </w:r>
      <w:r>
        <w:rPr>
          <w:sz w:val="24"/>
          <w:szCs w:val="24"/>
        </w:rPr>
        <w:tab/>
        <w:t>Ext</w:t>
      </w:r>
      <w:r w:rsidR="008B644F">
        <w:rPr>
          <w:sz w:val="24"/>
          <w:szCs w:val="24"/>
        </w:rPr>
        <w:t xml:space="preserve"> </w:t>
      </w:r>
      <w:r>
        <w:rPr>
          <w:sz w:val="24"/>
          <w:szCs w:val="24"/>
        </w:rPr>
        <w:t>1076</w:t>
      </w:r>
    </w:p>
    <w:p w14:paraId="0AD36572" w14:textId="77777777" w:rsidR="008B644F" w:rsidRDefault="008B644F" w:rsidP="009A420C">
      <w:pPr>
        <w:pStyle w:val="BodyText"/>
        <w:numPr>
          <w:ilvl w:val="0"/>
          <w:numId w:val="7"/>
        </w:numPr>
        <w:spacing w:after="240"/>
        <w:rPr>
          <w:sz w:val="24"/>
          <w:szCs w:val="24"/>
        </w:rPr>
      </w:pPr>
      <w:r>
        <w:rPr>
          <w:sz w:val="24"/>
          <w:szCs w:val="24"/>
        </w:rPr>
        <w:t>Emer Fay</w:t>
      </w:r>
      <w:r>
        <w:rPr>
          <w:sz w:val="24"/>
          <w:szCs w:val="24"/>
        </w:rPr>
        <w:tab/>
      </w:r>
      <w:r>
        <w:rPr>
          <w:sz w:val="24"/>
          <w:szCs w:val="24"/>
        </w:rPr>
        <w:tab/>
      </w:r>
      <w:r>
        <w:rPr>
          <w:sz w:val="24"/>
          <w:szCs w:val="24"/>
        </w:rPr>
        <w:tab/>
        <w:t>Ext 1338</w:t>
      </w:r>
    </w:p>
    <w:p w14:paraId="6AE787AD" w14:textId="77777777" w:rsidR="00156817" w:rsidRPr="009A420C" w:rsidRDefault="00156817" w:rsidP="009A420C">
      <w:pPr>
        <w:pStyle w:val="BodyText"/>
        <w:numPr>
          <w:ilvl w:val="0"/>
          <w:numId w:val="7"/>
        </w:numPr>
        <w:spacing w:after="240"/>
        <w:rPr>
          <w:sz w:val="24"/>
          <w:szCs w:val="24"/>
        </w:rPr>
      </w:pPr>
      <w:r>
        <w:rPr>
          <w:sz w:val="24"/>
          <w:szCs w:val="24"/>
        </w:rPr>
        <w:t>Mary O’Reilly</w:t>
      </w:r>
      <w:r>
        <w:rPr>
          <w:sz w:val="24"/>
          <w:szCs w:val="24"/>
        </w:rPr>
        <w:tab/>
      </w:r>
      <w:r>
        <w:rPr>
          <w:sz w:val="24"/>
          <w:szCs w:val="24"/>
        </w:rPr>
        <w:tab/>
      </w:r>
      <w:r>
        <w:rPr>
          <w:sz w:val="24"/>
          <w:szCs w:val="24"/>
        </w:rPr>
        <w:tab/>
        <w:t>Ext 1159</w:t>
      </w:r>
    </w:p>
    <w:p w14:paraId="4F4CD9B4" w14:textId="77777777" w:rsidR="00E80AE2" w:rsidRDefault="00E80AE2" w:rsidP="00096210">
      <w:pPr>
        <w:pStyle w:val="BodyText"/>
        <w:rPr>
          <w:sz w:val="24"/>
          <w:szCs w:val="24"/>
        </w:rPr>
      </w:pPr>
    </w:p>
    <w:p w14:paraId="5248B0EC" w14:textId="77777777" w:rsidR="00A53C62" w:rsidRPr="009A420C" w:rsidRDefault="00A53C62" w:rsidP="00156817">
      <w:pPr>
        <w:pStyle w:val="BodyText"/>
        <w:ind w:left="360"/>
        <w:rPr>
          <w:sz w:val="24"/>
          <w:szCs w:val="24"/>
        </w:rPr>
      </w:pPr>
      <w:r w:rsidRPr="009A420C">
        <w:rPr>
          <w:sz w:val="24"/>
          <w:szCs w:val="24"/>
        </w:rPr>
        <w:t>Other Sources of Help</w:t>
      </w:r>
    </w:p>
    <w:p w14:paraId="49B8221A" w14:textId="77777777" w:rsidR="00E80AE2" w:rsidRDefault="00E80AE2" w:rsidP="009A420C">
      <w:pPr>
        <w:pStyle w:val="BodyText"/>
        <w:numPr>
          <w:ilvl w:val="0"/>
          <w:numId w:val="8"/>
        </w:numPr>
        <w:spacing w:after="240"/>
        <w:rPr>
          <w:sz w:val="24"/>
          <w:szCs w:val="24"/>
        </w:rPr>
      </w:pPr>
      <w:r w:rsidRPr="009A420C">
        <w:rPr>
          <w:sz w:val="24"/>
          <w:szCs w:val="24"/>
        </w:rPr>
        <w:t>Students Union Welfare Officer</w:t>
      </w:r>
    </w:p>
    <w:p w14:paraId="38012D84" w14:textId="77777777" w:rsidR="00A53C62" w:rsidRPr="009A420C" w:rsidRDefault="00E80AE2" w:rsidP="009A420C">
      <w:pPr>
        <w:pStyle w:val="BodyText"/>
        <w:numPr>
          <w:ilvl w:val="0"/>
          <w:numId w:val="8"/>
        </w:numPr>
        <w:spacing w:after="240"/>
        <w:rPr>
          <w:sz w:val="24"/>
          <w:szCs w:val="24"/>
        </w:rPr>
      </w:pPr>
      <w:r>
        <w:rPr>
          <w:sz w:val="24"/>
          <w:szCs w:val="24"/>
        </w:rPr>
        <w:t>Chaplain</w:t>
      </w:r>
    </w:p>
    <w:p w14:paraId="203BF447" w14:textId="77777777" w:rsidR="00A53C62" w:rsidRPr="009A420C" w:rsidRDefault="00A53C62" w:rsidP="009A420C">
      <w:pPr>
        <w:pStyle w:val="BodyText"/>
        <w:numPr>
          <w:ilvl w:val="0"/>
          <w:numId w:val="8"/>
        </w:numPr>
        <w:spacing w:after="240"/>
        <w:rPr>
          <w:sz w:val="24"/>
          <w:szCs w:val="24"/>
        </w:rPr>
      </w:pPr>
      <w:r w:rsidRPr="009A420C">
        <w:rPr>
          <w:sz w:val="24"/>
          <w:szCs w:val="24"/>
        </w:rPr>
        <w:t>Student Counsellor</w:t>
      </w:r>
    </w:p>
    <w:p w14:paraId="3716FAAC" w14:textId="77777777" w:rsidR="00E80AE2" w:rsidRDefault="00E80AE2" w:rsidP="004F7796">
      <w:pPr>
        <w:pStyle w:val="BodyText"/>
        <w:spacing w:after="240"/>
        <w:rPr>
          <w:sz w:val="24"/>
          <w:szCs w:val="24"/>
        </w:rPr>
      </w:pPr>
    </w:p>
    <w:p w14:paraId="079B58C7" w14:textId="77777777" w:rsidR="00A53C62" w:rsidRPr="009A420C" w:rsidRDefault="00A53C62" w:rsidP="00156817">
      <w:pPr>
        <w:pStyle w:val="BodyText"/>
        <w:spacing w:after="240"/>
        <w:ind w:left="360"/>
        <w:rPr>
          <w:sz w:val="24"/>
          <w:szCs w:val="24"/>
        </w:rPr>
      </w:pPr>
      <w:r w:rsidRPr="009A420C">
        <w:rPr>
          <w:sz w:val="24"/>
          <w:szCs w:val="24"/>
        </w:rPr>
        <w:t>External Sources of Help</w:t>
      </w:r>
    </w:p>
    <w:p w14:paraId="6DA977EC" w14:textId="77777777" w:rsidR="00A53C62" w:rsidRPr="009A420C" w:rsidRDefault="00A53C62" w:rsidP="00096210">
      <w:pPr>
        <w:pStyle w:val="BodyText"/>
        <w:numPr>
          <w:ilvl w:val="0"/>
          <w:numId w:val="9"/>
        </w:numPr>
        <w:spacing w:after="240"/>
        <w:rPr>
          <w:sz w:val="24"/>
          <w:szCs w:val="24"/>
        </w:rPr>
      </w:pPr>
      <w:r w:rsidRPr="009A420C">
        <w:rPr>
          <w:sz w:val="24"/>
          <w:szCs w:val="24"/>
        </w:rPr>
        <w:t>The Employment Equality Agency</w:t>
      </w:r>
    </w:p>
    <w:p w14:paraId="196A8A54" w14:textId="77777777" w:rsidR="00A53C62" w:rsidRPr="009A420C" w:rsidRDefault="00A53C62" w:rsidP="00096210">
      <w:pPr>
        <w:pStyle w:val="BodyText"/>
        <w:numPr>
          <w:ilvl w:val="0"/>
          <w:numId w:val="9"/>
        </w:numPr>
        <w:spacing w:after="240"/>
        <w:rPr>
          <w:sz w:val="24"/>
          <w:szCs w:val="24"/>
        </w:rPr>
      </w:pPr>
      <w:r w:rsidRPr="009A420C">
        <w:rPr>
          <w:sz w:val="24"/>
          <w:szCs w:val="24"/>
        </w:rPr>
        <w:t xml:space="preserve">The </w:t>
      </w:r>
      <w:smartTag w:uri="urn:schemas-microsoft-com:office:smarttags" w:element="place">
        <w:smartTag w:uri="urn:schemas-microsoft-com:office:smarttags" w:element="City">
          <w:r w:rsidRPr="009A420C">
            <w:rPr>
              <w:sz w:val="24"/>
              <w:szCs w:val="24"/>
            </w:rPr>
            <w:t>Dublin</w:t>
          </w:r>
        </w:smartTag>
      </w:smartTag>
      <w:r w:rsidRPr="009A420C">
        <w:rPr>
          <w:sz w:val="24"/>
          <w:szCs w:val="24"/>
        </w:rPr>
        <w:t xml:space="preserve"> Rape Crisis Centre</w:t>
      </w:r>
    </w:p>
    <w:p w14:paraId="27497A14" w14:textId="77777777" w:rsidR="00A53C62" w:rsidRPr="009A420C" w:rsidRDefault="00A53C62" w:rsidP="00156817">
      <w:pPr>
        <w:pStyle w:val="BodyText"/>
        <w:spacing w:after="240"/>
        <w:ind w:left="360"/>
        <w:rPr>
          <w:sz w:val="24"/>
          <w:szCs w:val="24"/>
        </w:rPr>
      </w:pPr>
      <w:r w:rsidRPr="009A420C">
        <w:rPr>
          <w:sz w:val="24"/>
          <w:szCs w:val="24"/>
        </w:rPr>
        <w:lastRenderedPageBreak/>
        <w:t xml:space="preserve">Further </w:t>
      </w:r>
      <w:smartTag w:uri="urn:schemas-microsoft-com:office:smarttags" w:element="City">
        <w:smartTag w:uri="urn:schemas-microsoft-com:office:smarttags" w:element="place">
          <w:r w:rsidRPr="009A420C">
            <w:rPr>
              <w:sz w:val="24"/>
              <w:szCs w:val="24"/>
            </w:rPr>
            <w:t>Reading</w:t>
          </w:r>
        </w:smartTag>
      </w:smartTag>
    </w:p>
    <w:p w14:paraId="48DD28A2" w14:textId="77777777" w:rsidR="00A53C62" w:rsidRPr="009A420C" w:rsidRDefault="00A53C62" w:rsidP="00096210">
      <w:pPr>
        <w:pStyle w:val="BodyText"/>
        <w:numPr>
          <w:ilvl w:val="0"/>
          <w:numId w:val="10"/>
        </w:numPr>
        <w:spacing w:after="240"/>
        <w:rPr>
          <w:sz w:val="24"/>
          <w:szCs w:val="24"/>
        </w:rPr>
      </w:pPr>
      <w:r w:rsidRPr="009A420C">
        <w:rPr>
          <w:sz w:val="24"/>
          <w:szCs w:val="24"/>
        </w:rPr>
        <w:t>TUI/IVEA Code of practice for dealing with complaints of bullying and harassment in the workplace.</w:t>
      </w:r>
    </w:p>
    <w:p w14:paraId="676CA0BF" w14:textId="77777777" w:rsidR="00A53C62" w:rsidRPr="009A420C" w:rsidRDefault="00A53C62" w:rsidP="00096210">
      <w:pPr>
        <w:pStyle w:val="BodyText"/>
        <w:numPr>
          <w:ilvl w:val="0"/>
          <w:numId w:val="10"/>
        </w:numPr>
        <w:spacing w:after="240"/>
        <w:rPr>
          <w:sz w:val="24"/>
          <w:szCs w:val="24"/>
        </w:rPr>
      </w:pPr>
      <w:r w:rsidRPr="009A420C">
        <w:rPr>
          <w:sz w:val="24"/>
          <w:szCs w:val="24"/>
        </w:rPr>
        <w:t>IVEA/TUI Code of practice for dealing with complaints of sexual harassment in the workplace.</w:t>
      </w:r>
    </w:p>
    <w:p w14:paraId="4D5FADAE" w14:textId="77777777" w:rsidR="00A53C62" w:rsidRPr="000D516E" w:rsidRDefault="00096210" w:rsidP="00557907">
      <w:pPr>
        <w:numPr>
          <w:ilvl w:val="0"/>
          <w:numId w:val="1"/>
        </w:numPr>
        <w:spacing w:before="240" w:after="120"/>
        <w:ind w:left="357" w:hanging="357"/>
        <w:rPr>
          <w:rFonts w:ascii="Arial" w:hAnsi="Arial" w:cs="Arial"/>
          <w:b/>
          <w:sz w:val="24"/>
          <w:szCs w:val="24"/>
        </w:rPr>
      </w:pPr>
      <w:r w:rsidRPr="000D516E">
        <w:rPr>
          <w:rFonts w:ascii="Arial" w:hAnsi="Arial" w:cs="Arial"/>
          <w:b/>
          <w:sz w:val="24"/>
          <w:szCs w:val="24"/>
        </w:rPr>
        <w:t>Exclusions</w:t>
      </w:r>
    </w:p>
    <w:p w14:paraId="6A96D46F" w14:textId="77777777" w:rsidR="00A53C62" w:rsidRPr="00096210" w:rsidRDefault="00A53C62" w:rsidP="00A53C62">
      <w:pPr>
        <w:pStyle w:val="BodyText"/>
        <w:rPr>
          <w:sz w:val="24"/>
          <w:szCs w:val="24"/>
        </w:rPr>
      </w:pPr>
      <w:r w:rsidRPr="00096210">
        <w:rPr>
          <w:sz w:val="24"/>
          <w:szCs w:val="24"/>
        </w:rPr>
        <w:t>These policies and procedures are not designed to deal with those cases coming under the category of physical sexual assault which would, if prove</w:t>
      </w:r>
      <w:r w:rsidR="00156817">
        <w:rPr>
          <w:sz w:val="24"/>
          <w:szCs w:val="24"/>
        </w:rPr>
        <w:t>n</w:t>
      </w:r>
      <w:r w:rsidRPr="00096210">
        <w:rPr>
          <w:sz w:val="24"/>
          <w:szCs w:val="24"/>
        </w:rPr>
        <w:t>, amount to criminal wrongdoing.  Complaints that are the subject of legal proceedings may not be considered under these procedures.</w:t>
      </w:r>
    </w:p>
    <w:p w14:paraId="37609991" w14:textId="77777777" w:rsidR="00A53C62" w:rsidRDefault="00A53C62" w:rsidP="00A53C62">
      <w:pPr>
        <w:pStyle w:val="BodyText"/>
      </w:pPr>
    </w:p>
    <w:p w14:paraId="0FF01117" w14:textId="77777777" w:rsidR="00A53C62" w:rsidRDefault="00A53C62" w:rsidP="00A53C62">
      <w:pPr>
        <w:pStyle w:val="BodyText"/>
      </w:pPr>
    </w:p>
    <w:p w14:paraId="07CC68CA" w14:textId="77777777" w:rsidR="00A53C62" w:rsidRPr="000D516E" w:rsidRDefault="00A53C62" w:rsidP="00A53C62">
      <w:pPr>
        <w:pStyle w:val="BodyText"/>
        <w:tabs>
          <w:tab w:val="right" w:pos="8100"/>
        </w:tabs>
        <w:rPr>
          <w:sz w:val="24"/>
          <w:szCs w:val="24"/>
        </w:rPr>
      </w:pPr>
      <w:r>
        <w:tab/>
      </w:r>
      <w:r w:rsidRPr="000D516E">
        <w:rPr>
          <w:sz w:val="24"/>
          <w:szCs w:val="24"/>
        </w:rPr>
        <w:t>//ends</w:t>
      </w:r>
    </w:p>
    <w:p w14:paraId="47DCC128" w14:textId="77777777" w:rsidR="00A53C62" w:rsidRDefault="00A53C62" w:rsidP="00A53C62">
      <w:pPr>
        <w:pStyle w:val="BodyText"/>
      </w:pPr>
    </w:p>
    <w:p w14:paraId="7AEB0913" w14:textId="77777777" w:rsidR="00A53C62" w:rsidRDefault="00A53C62" w:rsidP="00A53C62">
      <w:pPr>
        <w:pStyle w:val="BodyText"/>
      </w:pPr>
    </w:p>
    <w:p w14:paraId="25C80D2C" w14:textId="77777777" w:rsidR="00A53C62" w:rsidRDefault="00A53C62" w:rsidP="00A53C62">
      <w:pPr>
        <w:spacing w:after="240"/>
        <w:rPr>
          <w:b/>
          <w:sz w:val="28"/>
        </w:rPr>
      </w:pPr>
    </w:p>
    <w:p w14:paraId="06AE20C9" w14:textId="77777777" w:rsidR="00A53C62" w:rsidRDefault="00A53C62" w:rsidP="00A53C62">
      <w:pPr>
        <w:pStyle w:val="Heading1"/>
        <w:ind w:left="0"/>
      </w:pPr>
    </w:p>
    <w:p w14:paraId="612C83A7" w14:textId="77777777" w:rsidR="00CB3AC6" w:rsidRDefault="00CB3AC6" w:rsidP="00240F40">
      <w:pPr>
        <w:rPr>
          <w:b/>
          <w:sz w:val="24"/>
        </w:rPr>
      </w:pPr>
    </w:p>
    <w:sectPr w:rsidR="00CB3AC6" w:rsidSect="00240F40">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CC26B" w14:textId="77777777" w:rsidR="008F0BAC" w:rsidRDefault="008F0BAC">
      <w:r>
        <w:separator/>
      </w:r>
    </w:p>
  </w:endnote>
  <w:endnote w:type="continuationSeparator" w:id="0">
    <w:p w14:paraId="728C9034" w14:textId="77777777" w:rsidR="008F0BAC" w:rsidRDefault="008F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0C43" w14:textId="77777777" w:rsidR="009230BC" w:rsidRDefault="009230BC" w:rsidP="00FB18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BC3730" w14:textId="77777777" w:rsidR="009230BC" w:rsidRDefault="00923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882"/>
      <w:gridCol w:w="2878"/>
      <w:gridCol w:w="2880"/>
    </w:tblGrid>
    <w:tr w:rsidR="009230BC" w14:paraId="2019CAD2" w14:textId="77777777" w:rsidTr="008F0BAC">
      <w:tc>
        <w:tcPr>
          <w:tcW w:w="2952" w:type="dxa"/>
          <w:shd w:val="clear" w:color="auto" w:fill="auto"/>
        </w:tcPr>
        <w:p w14:paraId="1455441D" w14:textId="77777777" w:rsidR="009230BC" w:rsidRPr="008F0BAC" w:rsidRDefault="00A53C62" w:rsidP="00FB18F5">
          <w:pPr>
            <w:pStyle w:val="Footer"/>
            <w:rPr>
              <w:rFonts w:ascii="Arial" w:hAnsi="Arial" w:cs="Arial"/>
            </w:rPr>
          </w:pPr>
          <w:r w:rsidRPr="008F0BAC">
            <w:rPr>
              <w:rFonts w:ascii="Arial" w:hAnsi="Arial" w:cs="Arial"/>
            </w:rPr>
            <w:t>3SS05</w:t>
          </w:r>
        </w:p>
      </w:tc>
      <w:tc>
        <w:tcPr>
          <w:tcW w:w="2952" w:type="dxa"/>
          <w:shd w:val="clear" w:color="auto" w:fill="auto"/>
        </w:tcPr>
        <w:p w14:paraId="2622D42B" w14:textId="45591261" w:rsidR="009230BC" w:rsidRPr="008F0BAC" w:rsidRDefault="00A53C62" w:rsidP="008F0BAC">
          <w:pPr>
            <w:pStyle w:val="Footer"/>
            <w:jc w:val="center"/>
            <w:rPr>
              <w:rFonts w:ascii="Arial" w:hAnsi="Arial" w:cs="Arial"/>
            </w:rPr>
          </w:pPr>
          <w:r w:rsidRPr="008F0BAC">
            <w:rPr>
              <w:rStyle w:val="PageNumber"/>
              <w:rFonts w:ascii="Arial" w:hAnsi="Arial" w:cs="Arial"/>
            </w:rPr>
            <w:t xml:space="preserve">Page </w:t>
          </w:r>
          <w:r w:rsidRPr="008F0BAC">
            <w:rPr>
              <w:rStyle w:val="PageNumber"/>
              <w:rFonts w:ascii="Arial" w:hAnsi="Arial" w:cs="Arial"/>
            </w:rPr>
            <w:fldChar w:fldCharType="begin"/>
          </w:r>
          <w:r w:rsidRPr="008F0BAC">
            <w:rPr>
              <w:rStyle w:val="PageNumber"/>
              <w:rFonts w:ascii="Arial" w:hAnsi="Arial" w:cs="Arial"/>
            </w:rPr>
            <w:instrText xml:space="preserve"> PAGE </w:instrText>
          </w:r>
          <w:r w:rsidRPr="008F0BAC">
            <w:rPr>
              <w:rStyle w:val="PageNumber"/>
              <w:rFonts w:ascii="Arial" w:hAnsi="Arial" w:cs="Arial"/>
            </w:rPr>
            <w:fldChar w:fldCharType="separate"/>
          </w:r>
          <w:r w:rsidR="00F960AC">
            <w:rPr>
              <w:rStyle w:val="PageNumber"/>
              <w:rFonts w:ascii="Arial" w:hAnsi="Arial" w:cs="Arial"/>
              <w:noProof/>
            </w:rPr>
            <w:t>- 1 -</w:t>
          </w:r>
          <w:r w:rsidRPr="008F0BAC">
            <w:rPr>
              <w:rStyle w:val="PageNumber"/>
              <w:rFonts w:ascii="Arial" w:hAnsi="Arial" w:cs="Arial"/>
            </w:rPr>
            <w:fldChar w:fldCharType="end"/>
          </w:r>
          <w:r w:rsidRPr="008F0BAC">
            <w:rPr>
              <w:rStyle w:val="PageNumber"/>
              <w:rFonts w:ascii="Arial" w:hAnsi="Arial" w:cs="Arial"/>
            </w:rPr>
            <w:t xml:space="preserve"> of </w:t>
          </w:r>
          <w:r w:rsidRPr="008F0BAC">
            <w:rPr>
              <w:rStyle w:val="PageNumber"/>
              <w:rFonts w:ascii="Arial" w:hAnsi="Arial" w:cs="Arial"/>
            </w:rPr>
            <w:fldChar w:fldCharType="begin"/>
          </w:r>
          <w:r w:rsidRPr="008F0BAC">
            <w:rPr>
              <w:rStyle w:val="PageNumber"/>
              <w:rFonts w:ascii="Arial" w:hAnsi="Arial" w:cs="Arial"/>
            </w:rPr>
            <w:instrText xml:space="preserve"> NUMPAGES </w:instrText>
          </w:r>
          <w:r w:rsidRPr="008F0BAC">
            <w:rPr>
              <w:rStyle w:val="PageNumber"/>
              <w:rFonts w:ascii="Arial" w:hAnsi="Arial" w:cs="Arial"/>
            </w:rPr>
            <w:fldChar w:fldCharType="separate"/>
          </w:r>
          <w:r w:rsidR="00F960AC">
            <w:rPr>
              <w:rStyle w:val="PageNumber"/>
              <w:rFonts w:ascii="Arial" w:hAnsi="Arial" w:cs="Arial"/>
              <w:noProof/>
            </w:rPr>
            <w:t>7</w:t>
          </w:r>
          <w:r w:rsidRPr="008F0BAC">
            <w:rPr>
              <w:rStyle w:val="PageNumber"/>
              <w:rFonts w:ascii="Arial" w:hAnsi="Arial" w:cs="Arial"/>
            </w:rPr>
            <w:fldChar w:fldCharType="end"/>
          </w:r>
        </w:p>
      </w:tc>
      <w:tc>
        <w:tcPr>
          <w:tcW w:w="2952" w:type="dxa"/>
          <w:shd w:val="clear" w:color="auto" w:fill="auto"/>
        </w:tcPr>
        <w:p w14:paraId="213241FA" w14:textId="77777777" w:rsidR="009230BC" w:rsidRPr="008F0BAC" w:rsidRDefault="00A53C62" w:rsidP="00FB18F5">
          <w:pPr>
            <w:pStyle w:val="Footer"/>
            <w:rPr>
              <w:rFonts w:ascii="Arial" w:hAnsi="Arial" w:cs="Arial"/>
            </w:rPr>
          </w:pPr>
          <w:r w:rsidRPr="008F0BAC">
            <w:rPr>
              <w:rFonts w:ascii="Arial" w:hAnsi="Arial" w:cs="Arial"/>
            </w:rPr>
            <w:t>0</w:t>
          </w:r>
          <w:r w:rsidR="00F64C42" w:rsidRPr="008F0BAC">
            <w:rPr>
              <w:rFonts w:ascii="Arial" w:hAnsi="Arial" w:cs="Arial"/>
            </w:rPr>
            <w:t>3</w:t>
          </w:r>
          <w:r w:rsidR="009230BC" w:rsidRPr="008F0BAC">
            <w:rPr>
              <w:rFonts w:ascii="Arial" w:hAnsi="Arial" w:cs="Arial"/>
            </w:rPr>
            <w:t xml:space="preserve">,  </w:t>
          </w:r>
          <w:r w:rsidR="00F64C42" w:rsidRPr="008F0BAC">
            <w:rPr>
              <w:rFonts w:ascii="Arial" w:hAnsi="Arial" w:cs="Arial"/>
            </w:rPr>
            <w:t>8 March 2021</w:t>
          </w:r>
        </w:p>
      </w:tc>
    </w:tr>
  </w:tbl>
  <w:p w14:paraId="18869A35" w14:textId="77777777" w:rsidR="009230BC" w:rsidRPr="00240F40" w:rsidRDefault="009230BC" w:rsidP="00FB18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66ED7" w14:textId="77777777" w:rsidR="00F64C42" w:rsidRDefault="00F64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F6E84" w14:textId="77777777" w:rsidR="008F0BAC" w:rsidRDefault="008F0BAC">
      <w:r>
        <w:separator/>
      </w:r>
    </w:p>
  </w:footnote>
  <w:footnote w:type="continuationSeparator" w:id="0">
    <w:p w14:paraId="4C65F206" w14:textId="77777777" w:rsidR="008F0BAC" w:rsidRDefault="008F0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827C4" w14:textId="77777777" w:rsidR="00F64C42" w:rsidRDefault="00F64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129"/>
    </w:tblGrid>
    <w:tr w:rsidR="009230BC" w14:paraId="2D453778" w14:textId="77777777">
      <w:tblPrEx>
        <w:tblCellMar>
          <w:top w:w="0" w:type="dxa"/>
          <w:bottom w:w="0" w:type="dxa"/>
        </w:tblCellMar>
      </w:tblPrEx>
      <w:trPr>
        <w:cantSplit/>
        <w:trHeight w:val="425"/>
      </w:trPr>
      <w:tc>
        <w:tcPr>
          <w:tcW w:w="9129" w:type="dxa"/>
          <w:shd w:val="clear" w:color="auto" w:fill="FFFFFF"/>
        </w:tcPr>
        <w:p w14:paraId="0547C460" w14:textId="77777777" w:rsidR="009230BC" w:rsidRPr="00FB18F5" w:rsidRDefault="00A53C62" w:rsidP="00FB18F5">
          <w:pPr>
            <w:pStyle w:val="Header"/>
            <w:tabs>
              <w:tab w:val="clear" w:pos="4153"/>
              <w:tab w:val="clear" w:pos="8306"/>
              <w:tab w:val="right" w:pos="8913"/>
            </w:tabs>
            <w:spacing w:before="60" w:after="60"/>
            <w:rPr>
              <w:rFonts w:ascii="Arial" w:hAnsi="Arial" w:cs="Arial"/>
            </w:rPr>
          </w:pPr>
          <w:r>
            <w:rPr>
              <w:rFonts w:ascii="Arial" w:hAnsi="Arial" w:cs="Arial"/>
            </w:rPr>
            <w:t>Policy on sexual harassment &amp; bullying of students in the Institute</w:t>
          </w:r>
          <w:r w:rsidR="009230BC" w:rsidRPr="00FB18F5">
            <w:rPr>
              <w:rFonts w:ascii="Arial" w:hAnsi="Arial" w:cs="Arial"/>
            </w:rPr>
            <w:tab/>
          </w:r>
        </w:p>
      </w:tc>
    </w:tr>
  </w:tbl>
  <w:p w14:paraId="536DD0F5" w14:textId="77777777" w:rsidR="009230BC" w:rsidRDefault="00923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399E" w14:textId="77777777" w:rsidR="00F64C42" w:rsidRDefault="00F64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7E02"/>
    <w:multiLevelType w:val="singleLevel"/>
    <w:tmpl w:val="08090017"/>
    <w:lvl w:ilvl="0">
      <w:start w:val="1"/>
      <w:numFmt w:val="lowerLetter"/>
      <w:lvlText w:val="%1)"/>
      <w:lvlJc w:val="left"/>
      <w:pPr>
        <w:tabs>
          <w:tab w:val="num" w:pos="360"/>
        </w:tabs>
        <w:ind w:left="360" w:hanging="360"/>
      </w:pPr>
    </w:lvl>
  </w:abstractNum>
  <w:abstractNum w:abstractNumId="1" w15:restartNumberingAfterBreak="0">
    <w:nsid w:val="086F4B87"/>
    <w:multiLevelType w:val="hybridMultilevel"/>
    <w:tmpl w:val="681ECD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2E63A9"/>
    <w:multiLevelType w:val="hybridMultilevel"/>
    <w:tmpl w:val="2EBEB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676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E00049"/>
    <w:multiLevelType w:val="multilevel"/>
    <w:tmpl w:val="1D0CD56C"/>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7BC750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9E2435A"/>
    <w:multiLevelType w:val="multilevel"/>
    <w:tmpl w:val="669CCB6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824483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0896B7E"/>
    <w:multiLevelType w:val="hybridMultilevel"/>
    <w:tmpl w:val="5CB06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673FD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94C7B68"/>
    <w:multiLevelType w:val="hybridMultilevel"/>
    <w:tmpl w:val="3BAC8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09659F"/>
    <w:multiLevelType w:val="hybridMultilevel"/>
    <w:tmpl w:val="80886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120FB8"/>
    <w:multiLevelType w:val="hybridMultilevel"/>
    <w:tmpl w:val="5DF03E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7"/>
  </w:num>
  <w:num w:numId="6">
    <w:abstractNumId w:val="9"/>
  </w:num>
  <w:num w:numId="7">
    <w:abstractNumId w:val="8"/>
  </w:num>
  <w:num w:numId="8">
    <w:abstractNumId w:val="11"/>
  </w:num>
  <w:num w:numId="9">
    <w:abstractNumId w:val="10"/>
  </w:num>
  <w:num w:numId="10">
    <w:abstractNumId w:val="2"/>
  </w:num>
  <w:num w:numId="11">
    <w:abstractNumId w:val="4"/>
  </w:num>
  <w:num w:numId="12">
    <w:abstractNumId w:val="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95"/>
    <w:rsid w:val="00096210"/>
    <w:rsid w:val="000D516E"/>
    <w:rsid w:val="000F5CAF"/>
    <w:rsid w:val="00156817"/>
    <w:rsid w:val="00182F14"/>
    <w:rsid w:val="001A4C68"/>
    <w:rsid w:val="001B4C35"/>
    <w:rsid w:val="001C5D42"/>
    <w:rsid w:val="00230E0B"/>
    <w:rsid w:val="00237BF2"/>
    <w:rsid w:val="00240F40"/>
    <w:rsid w:val="00255389"/>
    <w:rsid w:val="002C35A9"/>
    <w:rsid w:val="002D6C0D"/>
    <w:rsid w:val="002F7690"/>
    <w:rsid w:val="00312CD7"/>
    <w:rsid w:val="00367FEA"/>
    <w:rsid w:val="004176BA"/>
    <w:rsid w:val="00422C9E"/>
    <w:rsid w:val="004C27E9"/>
    <w:rsid w:val="004F7796"/>
    <w:rsid w:val="005172E2"/>
    <w:rsid w:val="00557907"/>
    <w:rsid w:val="005D6070"/>
    <w:rsid w:val="005E6D5B"/>
    <w:rsid w:val="006951DC"/>
    <w:rsid w:val="006C64AE"/>
    <w:rsid w:val="006E0B2F"/>
    <w:rsid w:val="00702327"/>
    <w:rsid w:val="00784032"/>
    <w:rsid w:val="007F0805"/>
    <w:rsid w:val="00882F3D"/>
    <w:rsid w:val="008B1052"/>
    <w:rsid w:val="008B644F"/>
    <w:rsid w:val="008F0BAC"/>
    <w:rsid w:val="009230BC"/>
    <w:rsid w:val="0092421D"/>
    <w:rsid w:val="00965B78"/>
    <w:rsid w:val="009930F3"/>
    <w:rsid w:val="009A420C"/>
    <w:rsid w:val="009E79B8"/>
    <w:rsid w:val="00A06EEF"/>
    <w:rsid w:val="00A46A71"/>
    <w:rsid w:val="00A53C62"/>
    <w:rsid w:val="00A65AA0"/>
    <w:rsid w:val="00A9148B"/>
    <w:rsid w:val="00A92EAA"/>
    <w:rsid w:val="00B451FC"/>
    <w:rsid w:val="00B53404"/>
    <w:rsid w:val="00BD658B"/>
    <w:rsid w:val="00C03C8F"/>
    <w:rsid w:val="00C643CA"/>
    <w:rsid w:val="00CB3AC6"/>
    <w:rsid w:val="00D105EF"/>
    <w:rsid w:val="00DF2F27"/>
    <w:rsid w:val="00E15F84"/>
    <w:rsid w:val="00E1630F"/>
    <w:rsid w:val="00E3380F"/>
    <w:rsid w:val="00E80AE2"/>
    <w:rsid w:val="00EB1B95"/>
    <w:rsid w:val="00EE2E63"/>
    <w:rsid w:val="00F64C42"/>
    <w:rsid w:val="00F723D3"/>
    <w:rsid w:val="00F81755"/>
    <w:rsid w:val="00F960AC"/>
    <w:rsid w:val="00FB18F5"/>
    <w:rsid w:val="00FD08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d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7C0E9208"/>
  <w15:chartTrackingRefBased/>
  <w15:docId w15:val="{77088686-58F2-4D51-90A9-93FF08F8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35"/>
    <w:rPr>
      <w:lang w:val="en-GB"/>
    </w:rPr>
  </w:style>
  <w:style w:type="paragraph" w:styleId="Heading1">
    <w:name w:val="heading 1"/>
    <w:basedOn w:val="Normal"/>
    <w:next w:val="Normal"/>
    <w:qFormat/>
    <w:rsid w:val="004C27E9"/>
    <w:pPr>
      <w:keepNext/>
      <w:ind w:left="360"/>
      <w:outlineLvl w:val="0"/>
    </w:pPr>
    <w:rPr>
      <w:b/>
      <w:sz w:val="24"/>
      <w:u w:val="single"/>
    </w:rPr>
  </w:style>
  <w:style w:type="paragraph" w:styleId="Heading2">
    <w:name w:val="heading 2"/>
    <w:basedOn w:val="Normal"/>
    <w:next w:val="Normal"/>
    <w:qFormat/>
    <w:rsid w:val="004C27E9"/>
    <w:pPr>
      <w:keepNext/>
      <w:outlineLvl w:val="1"/>
    </w:pPr>
    <w:rPr>
      <w:b/>
      <w:sz w:val="24"/>
    </w:rPr>
  </w:style>
  <w:style w:type="paragraph" w:styleId="Heading3">
    <w:name w:val="heading 3"/>
    <w:basedOn w:val="Normal"/>
    <w:next w:val="Normal"/>
    <w:qFormat/>
    <w:rsid w:val="004C27E9"/>
    <w:pPr>
      <w:keepNext/>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EB1B95"/>
    <w:pPr>
      <w:jc w:val="center"/>
    </w:pPr>
  </w:style>
  <w:style w:type="paragraph" w:styleId="Header">
    <w:name w:val="header"/>
    <w:basedOn w:val="Normal"/>
    <w:rsid w:val="001B4C35"/>
    <w:pPr>
      <w:tabs>
        <w:tab w:val="center" w:pos="4153"/>
        <w:tab w:val="right" w:pos="8306"/>
      </w:tabs>
    </w:pPr>
  </w:style>
  <w:style w:type="paragraph" w:styleId="Footer">
    <w:name w:val="footer"/>
    <w:basedOn w:val="Normal"/>
    <w:rsid w:val="001B4C35"/>
    <w:pPr>
      <w:tabs>
        <w:tab w:val="center" w:pos="4153"/>
        <w:tab w:val="right" w:pos="8306"/>
      </w:tabs>
    </w:pPr>
  </w:style>
  <w:style w:type="character" w:styleId="PageNumber">
    <w:name w:val="page number"/>
    <w:basedOn w:val="DefaultParagraphFont"/>
    <w:rsid w:val="001B4C35"/>
  </w:style>
  <w:style w:type="table" w:styleId="TableGrid">
    <w:name w:val="Table Grid"/>
    <w:basedOn w:val="TableNormal"/>
    <w:rsid w:val="00240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53C62"/>
    <w:pPr>
      <w:spacing w:after="120"/>
      <w:ind w:left="283"/>
    </w:pPr>
  </w:style>
  <w:style w:type="paragraph" w:styleId="BodyTextIndent2">
    <w:name w:val="Body Text Indent 2"/>
    <w:basedOn w:val="Normal"/>
    <w:rsid w:val="00A53C62"/>
    <w:pPr>
      <w:spacing w:after="120" w:line="480" w:lineRule="auto"/>
      <w:ind w:left="283"/>
    </w:pPr>
  </w:style>
  <w:style w:type="paragraph" w:styleId="BodyText">
    <w:name w:val="Body Text"/>
    <w:basedOn w:val="Normal"/>
    <w:rsid w:val="00A53C62"/>
    <w:pPr>
      <w:spacing w:after="120"/>
    </w:pPr>
  </w:style>
  <w:style w:type="paragraph" w:styleId="BalloonText">
    <w:name w:val="Balloon Text"/>
    <w:basedOn w:val="Normal"/>
    <w:semiHidden/>
    <w:rsid w:val="000D5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e69fed7e-6a5c-4706-9a39-d4ce0c78fb1a" xsi:nil="true"/>
    <UniqueSourceRef xmlns="e69fed7e-6a5c-4706-9a39-d4ce0c78fb1a" xsi:nil="true"/>
    <CloudMigratorVersion xmlns="e69fed7e-6a5c-4706-9a39-d4ce0c78fb1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BFEB847CA17B42A7E7D8E41D134027" ma:contentTypeVersion="16" ma:contentTypeDescription="Create a new document." ma:contentTypeScope="" ma:versionID="6299a949095ea1fc107de72045efbb98">
  <xsd:schema xmlns:xsd="http://www.w3.org/2001/XMLSchema" xmlns:xs="http://www.w3.org/2001/XMLSchema" xmlns:p="http://schemas.microsoft.com/office/2006/metadata/properties" xmlns:ns3="e69fed7e-6a5c-4706-9a39-d4ce0c78fb1a" targetNamespace="http://schemas.microsoft.com/office/2006/metadata/properties" ma:root="true" ma:fieldsID="1e1db4a248818c79e269330402e99076" ns3:_="">
    <xsd:import namespace="e69fed7e-6a5c-4706-9a39-d4ce0c78fb1a"/>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fed7e-6a5c-4706-9a39-d4ce0c78fb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68517-5665-46E1-B824-E5DEB70FB18C}">
  <ds:schemaRefs>
    <ds:schemaRef ds:uri="http://schemas.microsoft.com/office/2006/metadata/longProperties"/>
  </ds:schemaRefs>
</ds:datastoreItem>
</file>

<file path=customXml/itemProps2.xml><?xml version="1.0" encoding="utf-8"?>
<ds:datastoreItem xmlns:ds="http://schemas.openxmlformats.org/officeDocument/2006/customXml" ds:itemID="{418A98C8-836B-40CB-8D11-2D3C628CBC89}">
  <ds:schemaRefs>
    <ds:schemaRef ds:uri="http://schemas.microsoft.com/sharepoint/v3/contenttype/forms"/>
  </ds:schemaRefs>
</ds:datastoreItem>
</file>

<file path=customXml/itemProps3.xml><?xml version="1.0" encoding="utf-8"?>
<ds:datastoreItem xmlns:ds="http://schemas.openxmlformats.org/officeDocument/2006/customXml" ds:itemID="{70CA4153-1B68-45B3-88BC-944FE0CD0607}">
  <ds:schemaRefs>
    <ds:schemaRef ds:uri="http://www.w3.org/XML/1998/namespace"/>
    <ds:schemaRef ds:uri="http://purl.org/dc/terms/"/>
    <ds:schemaRef ds:uri="e69fed7e-6a5c-4706-9a39-d4ce0c78fb1a"/>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3D4D9F2-1F60-43D9-8278-5AD84A0E5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fed7e-6a5c-4706-9a39-d4ce0c78f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F52D32-3CF5-401D-9848-6F24F38A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3SS05</vt:lpstr>
    </vt:vector>
  </TitlesOfParts>
  <Manager>Registrar</Manager>
  <Company>ITB</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3SS05</dc:title>
  <dc:subject>Information document to student</dc:subject>
  <dc:creator>Registrar</dc:creator>
  <cp:keywords>Sexual Harassment Bullying and harassment</cp:keywords>
  <dc:description>Sexual Harassment; Bullying and Harassment</dc:description>
  <cp:lastModifiedBy>Bob OMhurcu</cp:lastModifiedBy>
  <cp:revision>2</cp:revision>
  <cp:lastPrinted>2003-08-22T14:23:00Z</cp:lastPrinted>
  <dcterms:created xsi:type="dcterms:W3CDTF">2021-04-14T09:51:00Z</dcterms:created>
  <dcterms:modified xsi:type="dcterms:W3CDTF">2021-04-14T09:51:00Z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46;#Policies and Procedures|06cadb07-15e7-4ddb-9f4e-681e370d8f41</vt:lpwstr>
  </property>
  <property fmtid="{D5CDD505-2E9C-101B-9397-08002B2CF9AE}" pid="3" name="CategoryTaxHTField0">
    <vt:lpwstr>Policies and Procedures|06cadb07-15e7-4ddb-9f4e-681e370d8f41</vt:lpwstr>
  </property>
  <property fmtid="{D5CDD505-2E9C-101B-9397-08002B2CF9AE}" pid="4" name="TaxCatchAll">
    <vt:lpwstr>46;#Policies and Procedures|06cadb07-15e7-4ddb-9f4e-681e370d8f41</vt:lpwstr>
  </property>
  <property fmtid="{D5CDD505-2E9C-101B-9397-08002B2CF9AE}" pid="5" name="IconOverlay">
    <vt:lpwstr/>
  </property>
  <property fmtid="{D5CDD505-2E9C-101B-9397-08002B2CF9AE}" pid="6" name="ContentTypeId">
    <vt:lpwstr>0x01010068BFEB847CA17B42A7E7D8E41D134027</vt:lpwstr>
  </property>
</Properties>
</file>