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44DA" w:rsidR="00FA783F" w:rsidP="00FA783F" w:rsidRDefault="1C0F0DF1" w14:paraId="3F99E2D8" w14:textId="1BBA2488">
      <w:pPr>
        <w:spacing w:after="0"/>
        <w:jc w:val="center"/>
        <w:rPr>
          <w:rFonts w:cs="Calibri"/>
          <w:lang w:val="en-GB"/>
        </w:rPr>
      </w:pPr>
      <w:r w:rsidRPr="58A67320">
        <w:rPr>
          <w:rFonts w:cs="Calibri"/>
          <w:b/>
          <w:bCs/>
          <w:lang w:val="en-GB"/>
        </w:rPr>
        <w:t xml:space="preserve">Data </w:t>
      </w:r>
      <w:r w:rsidRPr="58A67320" w:rsidR="00FA783F">
        <w:rPr>
          <w:rFonts w:cs="Calibri"/>
          <w:b/>
          <w:bCs/>
          <w:lang w:val="en-GB"/>
        </w:rPr>
        <w:t>Sharing Agreement</w:t>
      </w:r>
    </w:p>
    <w:p w:rsidRPr="000744DA" w:rsidR="00FA783F" w:rsidP="00FA783F" w:rsidRDefault="00FA783F" w14:paraId="36E7E4BD" w14:textId="77777777">
      <w:pPr>
        <w:spacing w:after="0"/>
        <w:jc w:val="center"/>
        <w:rPr>
          <w:rFonts w:cs="Calibri"/>
          <w:lang w:val="en-GB"/>
        </w:rPr>
      </w:pPr>
      <w:r w:rsidRPr="000744DA">
        <w:rPr>
          <w:rFonts w:cs="Calibri"/>
          <w:lang w:val="en-GB"/>
        </w:rPr>
        <w:t>between</w:t>
      </w:r>
    </w:p>
    <w:p w:rsidR="15076937" w:rsidP="5EEDB343" w:rsidRDefault="15076937" w14:paraId="0D74C446" w14:textId="2F55C5CA">
      <w:pPr>
        <w:spacing w:after="0"/>
        <w:jc w:val="center"/>
        <w:rPr>
          <w:b/>
          <w:bCs/>
          <w:color w:val="000000" w:themeColor="text1"/>
          <w:lang w:val="en-GB"/>
        </w:rPr>
      </w:pPr>
      <w:r w:rsidRPr="5EEDB343">
        <w:rPr>
          <w:rFonts w:cs="Calibri"/>
          <w:b/>
          <w:bCs/>
          <w:color w:val="000000" w:themeColor="text1"/>
          <w:lang w:val="en-GB"/>
        </w:rPr>
        <w:t>Technological University Dublin</w:t>
      </w:r>
    </w:p>
    <w:p w:rsidRPr="000744DA" w:rsidR="00FA783F" w:rsidP="00FA783F" w:rsidRDefault="00FA783F" w14:paraId="069E5315" w14:textId="77777777">
      <w:pPr>
        <w:spacing w:after="0"/>
        <w:jc w:val="center"/>
        <w:rPr>
          <w:rFonts w:cs="Calibri"/>
          <w:lang w:val="en-GB"/>
        </w:rPr>
      </w:pPr>
      <w:r w:rsidRPr="000744DA">
        <w:rPr>
          <w:rFonts w:cs="Calibri"/>
          <w:lang w:val="en-GB"/>
        </w:rPr>
        <w:t>And</w:t>
      </w:r>
    </w:p>
    <w:p w:rsidRPr="000744DA" w:rsidR="00FA783F" w:rsidP="5EEDB343" w:rsidRDefault="00FA783F" w14:paraId="4320185D" w14:textId="0F55B496">
      <w:pPr>
        <w:spacing w:after="240" w:line="240" w:lineRule="auto"/>
        <w:ind w:left="709" w:hanging="709"/>
        <w:jc w:val="center"/>
        <w:rPr>
          <w:rFonts w:eastAsia="Times New Roman" w:cs="Calibri"/>
          <w:b/>
          <w:bCs/>
          <w:caps/>
          <w:highlight w:val="yellow"/>
          <w:lang w:val="en"/>
        </w:rPr>
      </w:pPr>
    </w:p>
    <w:p w:rsidRPr="000744DA" w:rsidR="00FA783F" w:rsidP="58A67320" w:rsidRDefault="23C42037" w14:paraId="611EBACD" w14:textId="11B2CF5B">
      <w:pPr>
        <w:spacing w:after="0"/>
        <w:jc w:val="center"/>
        <w:rPr>
          <w:rFonts w:cs="Calibri"/>
          <w:b/>
          <w:bCs/>
          <w:lang w:val="en-GB"/>
        </w:rPr>
      </w:pPr>
      <w:r w:rsidRPr="5EEDB343">
        <w:rPr>
          <w:rFonts w:cs="Calibri"/>
          <w:b/>
          <w:bCs/>
          <w:lang w:val="en-GB"/>
        </w:rPr>
        <w:t xml:space="preserve">for the </w:t>
      </w:r>
      <w:r w:rsidRPr="5EEDB343" w:rsidR="2D637100">
        <w:rPr>
          <w:rFonts w:cs="Calibri"/>
          <w:b/>
          <w:bCs/>
          <w:lang w:val="en-GB"/>
        </w:rPr>
        <w:t xml:space="preserve">provision of </w:t>
      </w:r>
      <w:r w:rsidRPr="5EEDB343" w:rsidR="7C50625E">
        <w:rPr>
          <w:rFonts w:cs="Calibri"/>
          <w:b/>
          <w:bCs/>
          <w:lang w:val="en-GB"/>
        </w:rPr>
        <w:t>xxxxxx</w:t>
      </w:r>
      <w:r w:rsidRPr="5EEDB343" w:rsidR="2D637100">
        <w:rPr>
          <w:rFonts w:cs="Calibri"/>
          <w:b/>
          <w:bCs/>
          <w:lang w:val="en-GB"/>
        </w:rPr>
        <w:t xml:space="preserve"> </w:t>
      </w:r>
      <w:r w:rsidR="2D637100">
        <w:br/>
      </w:r>
      <w:r w:rsidRPr="5EEDB343" w:rsidR="2D637100">
        <w:rPr>
          <w:rFonts w:cs="Calibri"/>
          <w:b/>
          <w:bCs/>
          <w:lang w:val="en-GB"/>
        </w:rPr>
        <w:t xml:space="preserve">Technological University Dublin </w:t>
      </w:r>
    </w:p>
    <w:p w:rsidRPr="000744DA" w:rsidR="00FA783F" w:rsidP="5C0D0627" w:rsidRDefault="00FA783F" w14:paraId="1784A0F2" w14:textId="7C505D8F">
      <w:pPr>
        <w:spacing w:after="0"/>
        <w:jc w:val="center"/>
        <w:rPr>
          <w:rFonts w:cs="Calibri"/>
          <w:b/>
          <w:bCs/>
          <w:lang w:val="en-GB"/>
        </w:rPr>
      </w:pPr>
    </w:p>
    <w:p w:rsidRPr="000744DA" w:rsidR="00FA783F" w:rsidP="00FA783F" w:rsidRDefault="00FA783F" w14:paraId="672A6659" w14:textId="77777777">
      <w:pPr>
        <w:jc w:val="both"/>
        <w:rPr>
          <w:rFonts w:cs="Calibri"/>
          <w:lang w:val="en-GB"/>
        </w:rPr>
      </w:pPr>
    </w:p>
    <w:p w:rsidRPr="000744DA" w:rsidR="00FA783F" w:rsidP="00FA783F" w:rsidRDefault="00FA783F" w14:paraId="36A141A8" w14:textId="77777777">
      <w:pPr>
        <w:numPr>
          <w:ilvl w:val="0"/>
          <w:numId w:val="1"/>
        </w:numPr>
        <w:jc w:val="both"/>
        <w:rPr>
          <w:rFonts w:cs="Calibri"/>
          <w:b/>
          <w:lang w:val="en-GB"/>
        </w:rPr>
      </w:pPr>
      <w:r w:rsidRPr="000744DA">
        <w:rPr>
          <w:rFonts w:cs="Calibri"/>
          <w:b/>
          <w:lang w:val="en-GB"/>
        </w:rPr>
        <w:t>Parties</w:t>
      </w:r>
    </w:p>
    <w:p w:rsidRPr="000744DA" w:rsidR="00FA783F" w:rsidP="5C0D0627" w:rsidRDefault="7E33B519" w14:paraId="6A109E8F" w14:textId="7BE2B3AA">
      <w:pPr>
        <w:numPr>
          <w:ilvl w:val="1"/>
          <w:numId w:val="2"/>
        </w:numPr>
        <w:jc w:val="both"/>
        <w:rPr>
          <w:rFonts w:cs="Calibri"/>
          <w:lang w:val="en-GB"/>
        </w:rPr>
      </w:pPr>
      <w:r w:rsidRPr="000744DA">
        <w:t>Technological University Dublin (</w:t>
      </w:r>
      <w:r w:rsidRPr="000744DA" w:rsidR="1AADC078">
        <w:t xml:space="preserve">hereafter referred to as </w:t>
      </w:r>
      <w:r w:rsidRPr="000744DA">
        <w:t>TU Dublin</w:t>
      </w:r>
      <w:r w:rsidRPr="000744DA" w:rsidR="54507DB0">
        <w:t xml:space="preserve"> or the University</w:t>
      </w:r>
      <w:r w:rsidRPr="000744DA">
        <w:t>)</w:t>
      </w:r>
      <w:r w:rsidRPr="000744DA" w:rsidR="003E0CB8">
        <w:t xml:space="preserve"> </w:t>
      </w:r>
    </w:p>
    <w:p w:rsidR="6F6F6499" w:rsidP="3D85A4E7" w:rsidRDefault="6F6F6499" w14:paraId="565F7F28" w14:textId="2F87B83B">
      <w:pPr>
        <w:ind w:left="720"/>
        <w:rPr>
          <w:rFonts w:cs="Calibri"/>
          <w:lang w:val="en-GB"/>
        </w:rPr>
      </w:pPr>
      <w:bookmarkStart w:name="_Hlk15398759" w:id="0"/>
      <w:r w:rsidRPr="3D85A4E7" w:rsidR="6F6F6499">
        <w:rPr>
          <w:rFonts w:cs="Calibri"/>
          <w:highlight w:val="yellow"/>
          <w:lang w:val="en-GB"/>
        </w:rPr>
        <w:t xml:space="preserve">1.2 </w:t>
      </w:r>
      <w:proofErr w:type="gramStart"/>
      <w:r w:rsidRPr="3D85A4E7" w:rsidR="3D23B7BF">
        <w:rPr>
          <w:rFonts w:cs="Calibri"/>
          <w:highlight w:val="yellow"/>
          <w:lang w:val="en-GB"/>
        </w:rPr>
        <w:t>XX</w:t>
      </w:r>
      <w:r w:rsidRPr="3D85A4E7" w:rsidR="1F204274">
        <w:rPr>
          <w:rFonts w:cs="Calibri"/>
          <w:highlight w:val="yellow"/>
          <w:lang w:val="en-GB"/>
        </w:rPr>
        <w:t>(</w:t>
      </w:r>
      <w:proofErr w:type="gramEnd"/>
      <w:r w:rsidRPr="3D85A4E7" w:rsidR="1F204274">
        <w:rPr>
          <w:rFonts w:cs="Calibri"/>
          <w:highlight w:val="yellow"/>
          <w:lang w:val="en-GB"/>
        </w:rPr>
        <w:t xml:space="preserve">hereafter referred to as </w:t>
      </w:r>
      <w:r w:rsidRPr="3D85A4E7" w:rsidR="19DAD2EA">
        <w:rPr>
          <w:rFonts w:cs="Calibri"/>
          <w:highlight w:val="yellow"/>
          <w:lang w:val="en-GB"/>
        </w:rPr>
        <w:t>XX</w:t>
      </w:r>
      <w:r w:rsidRPr="3D85A4E7" w:rsidR="1F204274">
        <w:rPr>
          <w:rFonts w:cs="Calibri"/>
          <w:highlight w:val="yellow"/>
          <w:lang w:val="en-GB"/>
        </w:rPr>
        <w:t>)</w:t>
      </w:r>
      <w:r w:rsidRPr="3D85A4E7" w:rsidR="785150D7">
        <w:rPr>
          <w:rFonts w:cs="Calibri"/>
          <w:highlight w:val="yellow"/>
          <w:lang w:val="en-GB"/>
        </w:rPr>
        <w:t xml:space="preserve"> </w:t>
      </w:r>
      <w:bookmarkEnd w:id="0"/>
    </w:p>
    <w:p w:rsidRPr="000744DA" w:rsidR="00FA783F" w:rsidP="00FA783F" w:rsidRDefault="00FA783F" w14:paraId="305EB5E0" w14:textId="77777777">
      <w:pPr>
        <w:numPr>
          <w:ilvl w:val="0"/>
          <w:numId w:val="1"/>
        </w:numPr>
        <w:jc w:val="both"/>
        <w:rPr>
          <w:rFonts w:cs="Calibri"/>
          <w:b/>
          <w:lang w:val="en-GB"/>
        </w:rPr>
      </w:pPr>
      <w:r w:rsidRPr="000744DA">
        <w:rPr>
          <w:rFonts w:cs="Calibri"/>
          <w:b/>
          <w:lang w:val="en-GB"/>
        </w:rPr>
        <w:t>Background and Introduction</w:t>
      </w:r>
    </w:p>
    <w:p w:rsidRPr="000744DA" w:rsidR="00FA783F" w:rsidP="5EEDB343" w:rsidRDefault="2D6EA375" w14:paraId="1239462F" w14:textId="00D66C9B">
      <w:pPr>
        <w:numPr>
          <w:ilvl w:val="1"/>
          <w:numId w:val="1"/>
        </w:numPr>
        <w:jc w:val="both"/>
        <w:rPr>
          <w:rFonts w:asciiTheme="minorHAnsi" w:hAnsiTheme="minorHAnsi" w:eastAsiaTheme="minorEastAsia" w:cstheme="minorBidi"/>
          <w:lang w:val="en-GB"/>
        </w:rPr>
      </w:pPr>
      <w:r>
        <w:t xml:space="preserve">TU Dublin </w:t>
      </w:r>
      <w:r w:rsidR="00FA783F">
        <w:t xml:space="preserve">has a responsibility for </w:t>
      </w:r>
    </w:p>
    <w:p w:rsidRPr="000744DA" w:rsidR="00FA783F" w:rsidP="5EEDB343" w:rsidRDefault="00FC4D8A" w14:paraId="7E315A3A" w14:textId="4DE48EF6">
      <w:pPr>
        <w:numPr>
          <w:ilvl w:val="1"/>
          <w:numId w:val="1"/>
        </w:numPr>
        <w:jc w:val="both"/>
        <w:rPr>
          <w:lang w:val="en-GB"/>
        </w:rPr>
      </w:pPr>
      <w:bookmarkStart w:name="_Ref2866038" w:id="1"/>
      <w:r w:rsidRPr="5EEDB343">
        <w:rPr>
          <w:rFonts w:cs="Calibri"/>
          <w:lang w:val="en-GB"/>
        </w:rPr>
        <w:t>The ser</w:t>
      </w:r>
      <w:r w:rsidRPr="5EEDB343" w:rsidR="278C3F33">
        <w:rPr>
          <w:rFonts w:cs="Calibri"/>
          <w:lang w:val="en-GB"/>
        </w:rPr>
        <w:t xml:space="preserve">vice provided by the </w:t>
      </w:r>
      <w:r w:rsidRPr="5EEDB343" w:rsidR="11A7EFEC">
        <w:rPr>
          <w:rFonts w:cs="Calibri"/>
          <w:lang w:val="en-GB"/>
        </w:rPr>
        <w:t>XX</w:t>
      </w:r>
      <w:r w:rsidRPr="5EEDB343" w:rsidR="00FA783F">
        <w:rPr>
          <w:rFonts w:cs="Calibri"/>
          <w:lang w:val="en-GB"/>
        </w:rPr>
        <w:t xml:space="preserve"> </w:t>
      </w:r>
    </w:p>
    <w:p w:rsidRPr="000744DA" w:rsidR="00FA783F" w:rsidP="5C0D0627" w:rsidRDefault="00FA783F" w14:paraId="3E2F20F2" w14:textId="18F240AE">
      <w:pPr>
        <w:numPr>
          <w:ilvl w:val="1"/>
          <w:numId w:val="1"/>
        </w:numPr>
        <w:jc w:val="both"/>
        <w:rPr>
          <w:lang w:val="en-GB"/>
        </w:rPr>
      </w:pPr>
      <w:r w:rsidRPr="6C47077F" w:rsidR="00FA783F">
        <w:rPr>
          <w:rFonts w:cs="Calibri"/>
          <w:lang w:val="en-GB"/>
        </w:rPr>
        <w:t xml:space="preserve"> </w:t>
      </w:r>
      <w:proofErr w:type="gramStart"/>
      <w:r w:rsidRPr="6C47077F" w:rsidR="00FA783F">
        <w:rPr>
          <w:rFonts w:cs="Calibri"/>
          <w:lang w:val="en-GB"/>
        </w:rPr>
        <w:t>In order for</w:t>
      </w:r>
      <w:proofErr w:type="gramEnd"/>
      <w:r w:rsidRPr="6C47077F" w:rsidR="00FA783F">
        <w:rPr>
          <w:rFonts w:cs="Calibri"/>
          <w:lang w:val="en-GB"/>
        </w:rPr>
        <w:t xml:space="preserve"> </w:t>
      </w:r>
      <w:r w:rsidRPr="6C47077F" w:rsidR="70FA6284">
        <w:rPr>
          <w:rFonts w:cs="Calibri"/>
          <w:lang w:val="en-GB"/>
        </w:rPr>
        <w:t>XX</w:t>
      </w:r>
      <w:r w:rsidRPr="6C47077F" w:rsidR="0485FDAC">
        <w:rPr>
          <w:rFonts w:cs="Calibri"/>
          <w:lang w:val="en-GB"/>
        </w:rPr>
        <w:t xml:space="preserve">, TU Dublin </w:t>
      </w:r>
      <w:proofErr w:type="gramStart"/>
      <w:r w:rsidRPr="6C47077F" w:rsidR="230CF492">
        <w:rPr>
          <w:rFonts w:cs="Calibri"/>
          <w:lang w:val="en-GB"/>
        </w:rPr>
        <w:t>ha</w:t>
      </w:r>
      <w:r w:rsidRPr="6C47077F" w:rsidR="00FA783F">
        <w:rPr>
          <w:rFonts w:cs="Calibri"/>
          <w:lang w:val="en-GB"/>
        </w:rPr>
        <w:t>s to</w:t>
      </w:r>
      <w:proofErr w:type="gramEnd"/>
      <w:r w:rsidRPr="6C47077F" w:rsidR="00FA783F">
        <w:rPr>
          <w:rFonts w:cs="Calibri"/>
          <w:lang w:val="en-GB"/>
        </w:rPr>
        <w:t xml:space="preserve"> share personal data</w:t>
      </w:r>
      <w:r w:rsidRPr="6C47077F" w:rsidR="4FA8772B">
        <w:rPr>
          <w:rFonts w:cs="Calibri"/>
          <w:lang w:val="en-GB"/>
        </w:rPr>
        <w:t>.</w:t>
      </w:r>
      <w:r w:rsidRPr="6C47077F" w:rsidR="00FA783F">
        <w:rPr>
          <w:rFonts w:cs="Calibri"/>
          <w:lang w:val="en-GB"/>
        </w:rPr>
        <w:t xml:space="preserve"> This agreement sets out the nature of this data sharing and how it will be protected as per data protection legislation. </w:t>
      </w:r>
      <w:bookmarkEnd w:id="1"/>
    </w:p>
    <w:p w:rsidRPr="000744DA" w:rsidR="00FA783F" w:rsidP="00FA783F" w:rsidRDefault="00FA783F" w14:paraId="4F2BBB04" w14:textId="77777777">
      <w:pPr>
        <w:numPr>
          <w:ilvl w:val="0"/>
          <w:numId w:val="1"/>
        </w:numPr>
        <w:jc w:val="both"/>
        <w:rPr>
          <w:rFonts w:cs="Calibri"/>
          <w:b/>
          <w:lang w:val="en-GB"/>
        </w:rPr>
      </w:pPr>
      <w:r w:rsidRPr="000744DA">
        <w:rPr>
          <w:rFonts w:cs="Calibri"/>
          <w:b/>
          <w:lang w:val="en-GB"/>
        </w:rPr>
        <w:t>Interpretation</w:t>
      </w:r>
    </w:p>
    <w:p w:rsidRPr="000744DA" w:rsidR="00FA783F" w:rsidP="00FA783F" w:rsidRDefault="00FA783F" w14:paraId="6E05505E" w14:textId="77777777">
      <w:pPr>
        <w:ind w:left="360"/>
        <w:jc w:val="both"/>
        <w:rPr>
          <w:rFonts w:cs="Calibri"/>
          <w:lang w:val="en-GB"/>
        </w:rPr>
      </w:pPr>
      <w:r w:rsidRPr="000744DA">
        <w:rPr>
          <w:rFonts w:cs="Calibri"/>
          <w:lang w:val="en-GB"/>
        </w:rPr>
        <w:t xml:space="preserve">“GDPR” shall be taken as a reference to the General Data Protection Regulation, </w:t>
      </w:r>
      <w:r w:rsidRPr="000744DA">
        <w:t xml:space="preserve">2016/679 </w:t>
      </w:r>
      <w:r w:rsidRPr="000744DA">
        <w:rPr>
          <w:rFonts w:cs="Calibri"/>
          <w:lang w:val="en-GB"/>
        </w:rPr>
        <w:t>and where the context requires the Data Protection Act 2018</w:t>
      </w:r>
    </w:p>
    <w:p w:rsidRPr="000744DA" w:rsidR="00FA783F" w:rsidP="00FA783F" w:rsidRDefault="00FA783F" w14:paraId="0C4F93A0" w14:textId="77777777">
      <w:pPr>
        <w:ind w:left="360"/>
        <w:jc w:val="both"/>
        <w:rPr>
          <w:rFonts w:cs="Calibri"/>
          <w:lang w:val="en-GB"/>
        </w:rPr>
      </w:pPr>
      <w:r w:rsidRPr="000744DA">
        <w:rPr>
          <w:rFonts w:cs="Calibri"/>
          <w:lang w:val="en-GB"/>
        </w:rPr>
        <w:t xml:space="preserve">“shared data” means that data shared pursuant to this agreement and listed in Schedule 1 in this agreement.  </w:t>
      </w:r>
    </w:p>
    <w:p w:rsidRPr="000744DA" w:rsidR="00FA783F" w:rsidP="00FA783F" w:rsidRDefault="00FA783F" w14:paraId="70EFD9B0" w14:textId="3EA16952">
      <w:pPr>
        <w:ind w:left="360"/>
        <w:jc w:val="both"/>
        <w:rPr>
          <w:rFonts w:cs="Calibri"/>
          <w:lang w:val="en-GB"/>
        </w:rPr>
      </w:pPr>
      <w:r w:rsidRPr="5EEDB343">
        <w:rPr>
          <w:rFonts w:cs="Calibri"/>
          <w:lang w:val="en-GB"/>
        </w:rPr>
        <w:t xml:space="preserve"> “student” means a</w:t>
      </w:r>
      <w:r w:rsidRPr="5EEDB343" w:rsidR="792FFDD1">
        <w:rPr>
          <w:rFonts w:cs="Calibri"/>
          <w:lang w:val="en-GB"/>
        </w:rPr>
        <w:t>ny individual who is a registered student of the University</w:t>
      </w:r>
    </w:p>
    <w:p w:rsidR="481BD38A" w:rsidP="5EEDB343" w:rsidRDefault="481BD38A" w14:paraId="6BE4862E" w14:textId="012A4D1F">
      <w:pPr>
        <w:ind w:left="360"/>
        <w:jc w:val="both"/>
        <w:rPr>
          <w:lang w:val="en-GB"/>
        </w:rPr>
      </w:pPr>
      <w:r w:rsidRPr="5EEDB343">
        <w:rPr>
          <w:rFonts w:cs="Calibri"/>
          <w:lang w:val="en-GB"/>
        </w:rPr>
        <w:t>XX a.n.other</w:t>
      </w:r>
    </w:p>
    <w:p w:rsidRPr="000744DA" w:rsidR="00FA783F" w:rsidP="00FA783F" w:rsidRDefault="00FA783F" w14:paraId="5032EDEC" w14:textId="3D007F6B">
      <w:pPr>
        <w:ind w:left="360"/>
        <w:jc w:val="both"/>
        <w:rPr>
          <w:rFonts w:cs="Calibri"/>
          <w:lang w:val="en-GB"/>
        </w:rPr>
      </w:pPr>
      <w:r w:rsidRPr="58A67320">
        <w:rPr>
          <w:rFonts w:cs="Calibri"/>
          <w:lang w:val="en-GB"/>
        </w:rPr>
        <w:t>Where the context permits</w:t>
      </w:r>
      <w:r w:rsidRPr="58A67320" w:rsidR="79B42FF3">
        <w:rPr>
          <w:rFonts w:cs="Calibri"/>
          <w:lang w:val="en-GB"/>
        </w:rPr>
        <w:t>,</w:t>
      </w:r>
      <w:r w:rsidRPr="58A67320">
        <w:rPr>
          <w:rFonts w:cs="Calibri"/>
          <w:lang w:val="en-GB"/>
        </w:rPr>
        <w:t xml:space="preserve"> this agreement relies upon the definitions as set in Article 4 GDPR and Section 2 of the Data Protection Act 2018. </w:t>
      </w:r>
    </w:p>
    <w:p w:rsidRPr="000744DA" w:rsidR="00FA783F" w:rsidP="00FA783F" w:rsidRDefault="00FA783F" w14:paraId="10064C51" w14:textId="77777777">
      <w:pPr>
        <w:numPr>
          <w:ilvl w:val="0"/>
          <w:numId w:val="1"/>
        </w:numPr>
        <w:jc w:val="both"/>
        <w:rPr>
          <w:rFonts w:cs="Calibri"/>
          <w:b/>
          <w:lang w:val="en-GB"/>
        </w:rPr>
      </w:pPr>
      <w:r w:rsidRPr="000744DA">
        <w:rPr>
          <w:rFonts w:cs="Calibri"/>
          <w:b/>
          <w:lang w:val="en-GB"/>
        </w:rPr>
        <w:t>Purpose and Function of this Agreement</w:t>
      </w:r>
    </w:p>
    <w:p w:rsidRPr="000744DA" w:rsidR="00FA783F" w:rsidP="00FA783F" w:rsidRDefault="00FA783F" w14:paraId="217DBE0F" w14:textId="00A028DA">
      <w:pPr>
        <w:numPr>
          <w:ilvl w:val="1"/>
          <w:numId w:val="1"/>
        </w:numPr>
        <w:jc w:val="both"/>
        <w:rPr>
          <w:rFonts w:cs="Calibri"/>
          <w:lang w:val="en-GB"/>
        </w:rPr>
      </w:pPr>
      <w:r w:rsidRPr="5EEDB343">
        <w:rPr>
          <w:rFonts w:cs="Calibri"/>
          <w:lang w:val="en-GB"/>
        </w:rPr>
        <w:t xml:space="preserve">This agreement is required to ensure that the sharing of personal information for the purpose of </w:t>
      </w:r>
      <w:r w:rsidRPr="5EEDB343" w:rsidR="4C022DC1">
        <w:rPr>
          <w:rFonts w:cs="Calibri"/>
          <w:lang w:val="en-GB"/>
        </w:rPr>
        <w:t>XX</w:t>
      </w:r>
      <w:r w:rsidRPr="5EEDB343">
        <w:rPr>
          <w:rFonts w:cs="Calibri"/>
          <w:lang w:val="en-GB"/>
        </w:rPr>
        <w:t xml:space="preserve"> is carried out in accordance with the GDPR and Data Protection Act 2018 and both parties agree to be bound by this agreement.</w:t>
      </w:r>
    </w:p>
    <w:p w:rsidRPr="000744DA" w:rsidR="00FA783F" w:rsidP="00FA783F" w:rsidRDefault="5D04986D" w14:paraId="6E5B0339" w14:textId="2E86A903">
      <w:pPr>
        <w:numPr>
          <w:ilvl w:val="1"/>
          <w:numId w:val="1"/>
        </w:numPr>
        <w:jc w:val="both"/>
        <w:rPr>
          <w:rFonts w:cs="Calibri"/>
          <w:lang w:val="en-GB"/>
        </w:rPr>
      </w:pPr>
      <w:bookmarkStart w:name="_Ref14344678" w:id="2"/>
      <w:bookmarkStart w:name="_Ref2866040" w:id="3"/>
      <w:r w:rsidRPr="601F5307">
        <w:rPr>
          <w:rFonts w:cs="Calibri"/>
          <w:lang w:val="en-GB"/>
        </w:rPr>
        <w:t>XX</w:t>
      </w:r>
      <w:r w:rsidRPr="601F5307" w:rsidR="1C89E0D9">
        <w:rPr>
          <w:rFonts w:cs="Calibri"/>
          <w:lang w:val="en-GB"/>
        </w:rPr>
        <w:t xml:space="preserve"> </w:t>
      </w:r>
      <w:r w:rsidRPr="601F5307" w:rsidR="00FA783F">
        <w:rPr>
          <w:rFonts w:cs="Calibri"/>
          <w:lang w:val="en-GB"/>
        </w:rPr>
        <w:t xml:space="preserve">requests from the </w:t>
      </w:r>
      <w:r w:rsidRPr="601F5307" w:rsidR="14000B78">
        <w:rPr>
          <w:rFonts w:cs="Calibri"/>
          <w:lang w:val="en-GB"/>
        </w:rPr>
        <w:t xml:space="preserve">University </w:t>
      </w:r>
      <w:r w:rsidRPr="601F5307" w:rsidR="70CC4968">
        <w:rPr>
          <w:rFonts w:cs="Calibri"/>
          <w:lang w:val="en-GB"/>
        </w:rPr>
        <w:t xml:space="preserve">who </w:t>
      </w:r>
      <w:r w:rsidRPr="601F5307" w:rsidR="00FA783F">
        <w:rPr>
          <w:rFonts w:cs="Calibri"/>
          <w:lang w:val="en-GB"/>
        </w:rPr>
        <w:t xml:space="preserve">agrees to furnish to </w:t>
      </w:r>
      <w:r w:rsidRPr="601F5307" w:rsidR="344BD74F">
        <w:rPr>
          <w:rFonts w:cs="Calibri"/>
          <w:lang w:val="en-GB"/>
        </w:rPr>
        <w:t xml:space="preserve">XX </w:t>
      </w:r>
      <w:r w:rsidRPr="601F5307" w:rsidR="00FA783F">
        <w:rPr>
          <w:rFonts w:cs="Calibri"/>
          <w:lang w:val="en-GB"/>
        </w:rPr>
        <w:t xml:space="preserve">the information set out in </w:t>
      </w:r>
      <w:bookmarkEnd w:id="2"/>
      <w:r w:rsidRPr="601F5307" w:rsidR="00FA783F">
        <w:rPr>
          <w:rFonts w:cs="Calibri"/>
          <w:lang w:val="en-GB"/>
        </w:rPr>
        <w:t xml:space="preserve">Schedule 1.  </w:t>
      </w:r>
    </w:p>
    <w:bookmarkEnd w:id="3"/>
    <w:p w:rsidRPr="000744DA" w:rsidR="00FA783F" w:rsidP="00FA783F" w:rsidRDefault="00FA783F" w14:paraId="2042F55F" w14:textId="3232CFA0">
      <w:pPr>
        <w:numPr>
          <w:ilvl w:val="1"/>
          <w:numId w:val="1"/>
        </w:numPr>
        <w:jc w:val="both"/>
        <w:rPr>
          <w:rFonts w:cs="Calibri"/>
          <w:lang w:val="en-GB"/>
        </w:rPr>
      </w:pPr>
      <w:r w:rsidRPr="5EEDB343">
        <w:rPr>
          <w:rFonts w:cs="Calibri"/>
          <w:lang w:val="en-GB"/>
        </w:rPr>
        <w:t xml:space="preserve">The parties agree that this Agreement </w:t>
      </w:r>
      <w:r w:rsidRPr="5EEDB343" w:rsidR="0D2555D8">
        <w:rPr>
          <w:rFonts w:cs="Calibri"/>
          <w:lang w:val="en-GB"/>
        </w:rPr>
        <w:t>XX</w:t>
      </w:r>
      <w:r w:rsidRPr="5EEDB343">
        <w:rPr>
          <w:rFonts w:cs="Calibri"/>
          <w:lang w:val="en-GB"/>
        </w:rPr>
        <w:t>. Such sharing goes no further than is necessary to properly administ</w:t>
      </w:r>
      <w:r w:rsidRPr="5EEDB343" w:rsidR="595B6804">
        <w:rPr>
          <w:rFonts w:cs="Calibri"/>
          <w:lang w:val="en-GB"/>
        </w:rPr>
        <w:t xml:space="preserve">er </w:t>
      </w:r>
    </w:p>
    <w:p w:rsidRPr="000744DA" w:rsidR="00FA783F" w:rsidP="5EEDB343" w:rsidRDefault="00FA783F" w14:paraId="1734291A" w14:textId="79CA8B61">
      <w:pPr>
        <w:numPr>
          <w:ilvl w:val="1"/>
          <w:numId w:val="1"/>
        </w:numPr>
        <w:jc w:val="both"/>
        <w:rPr>
          <w:rFonts w:cs="Calibri"/>
          <w:lang w:val="en-GB"/>
        </w:rPr>
      </w:pPr>
      <w:r>
        <w:t>T</w:t>
      </w:r>
      <w:r w:rsidR="34F3DB65">
        <w:t xml:space="preserve">U Dublin </w:t>
      </w:r>
      <w:r>
        <w:t xml:space="preserve">is a data controller in respect of personal information in its possession, and nothing in this agreement should be construed as to vary this position. </w:t>
      </w:r>
      <w:r w:rsidR="716A517B">
        <w:t>XX</w:t>
      </w:r>
      <w:r w:rsidR="07FD5358">
        <w:t xml:space="preserve"> </w:t>
      </w:r>
      <w:r>
        <w:t xml:space="preserve">shall assume the role of Data Controller in respect of such information shared with it pursuant to the agreement herein. </w:t>
      </w:r>
    </w:p>
    <w:p w:rsidRPr="000744DA" w:rsidR="00FA783F" w:rsidP="00FA783F" w:rsidRDefault="00FA783F" w14:paraId="1A3C1ABE" w14:textId="77777777">
      <w:pPr>
        <w:numPr>
          <w:ilvl w:val="1"/>
          <w:numId w:val="1"/>
        </w:numPr>
        <w:jc w:val="both"/>
        <w:rPr>
          <w:rFonts w:cs="Calibri"/>
          <w:lang w:val="en-GB"/>
        </w:rPr>
      </w:pPr>
      <w:r w:rsidRPr="000744DA">
        <w:rPr>
          <w:rFonts w:cs="Calibri"/>
          <w:lang w:val="en-GB"/>
        </w:rPr>
        <w:t xml:space="preserve">The parties shall not process shared personal data in a way that is incompatible with the relevant purposes and this agreement. </w:t>
      </w:r>
    </w:p>
    <w:p w:rsidRPr="000744DA" w:rsidR="00FA783F" w:rsidP="00FA783F" w:rsidRDefault="00FA783F" w14:paraId="7CEFDFB3" w14:textId="77777777">
      <w:pPr>
        <w:numPr>
          <w:ilvl w:val="0"/>
          <w:numId w:val="1"/>
        </w:numPr>
        <w:jc w:val="both"/>
        <w:rPr>
          <w:rFonts w:cs="Calibri"/>
          <w:b/>
          <w:lang w:val="en-GB"/>
        </w:rPr>
      </w:pPr>
      <w:r w:rsidRPr="000744DA">
        <w:rPr>
          <w:rFonts w:cs="Calibri"/>
          <w:b/>
          <w:lang w:val="en-GB"/>
        </w:rPr>
        <w:t>Categories of Personal Data Shared Under this Agreement</w:t>
      </w:r>
    </w:p>
    <w:p w:rsidRPr="000744DA" w:rsidR="00FA783F" w:rsidP="00FA783F" w:rsidRDefault="00FA783F" w14:paraId="627213AD" w14:textId="325AED72">
      <w:pPr>
        <w:numPr>
          <w:ilvl w:val="1"/>
          <w:numId w:val="1"/>
        </w:numPr>
        <w:jc w:val="both"/>
        <w:rPr>
          <w:rFonts w:cs="Calibri"/>
          <w:lang w:val="en-GB"/>
        </w:rPr>
      </w:pPr>
      <w:r w:rsidRPr="601F5307">
        <w:rPr>
          <w:rFonts w:cs="Calibri"/>
          <w:lang w:val="en-GB"/>
        </w:rPr>
        <w:t xml:space="preserve">The personal data shared by the </w:t>
      </w:r>
      <w:r w:rsidRPr="601F5307" w:rsidR="2F803FCD">
        <w:rPr>
          <w:rFonts w:cs="Calibri"/>
          <w:lang w:val="en-GB"/>
        </w:rPr>
        <w:t>University</w:t>
      </w:r>
      <w:r w:rsidRPr="601F5307">
        <w:rPr>
          <w:rFonts w:cs="Calibri"/>
          <w:lang w:val="en-GB"/>
        </w:rPr>
        <w:t xml:space="preserve"> with </w:t>
      </w:r>
      <w:r w:rsidRPr="601F5307" w:rsidR="76D50465">
        <w:rPr>
          <w:rFonts w:cs="Calibri"/>
          <w:lang w:val="en-GB"/>
        </w:rPr>
        <w:t>xx</w:t>
      </w:r>
      <w:r w:rsidRPr="601F5307">
        <w:rPr>
          <w:rFonts w:cs="Calibri"/>
          <w:lang w:val="en-GB"/>
        </w:rPr>
        <w:t xml:space="preserve"> is set out in </w:t>
      </w:r>
      <w:r w:rsidRPr="601F5307" w:rsidR="2CEFCAAD">
        <w:rPr>
          <w:rFonts w:cs="Calibri"/>
          <w:lang w:val="en-GB"/>
        </w:rPr>
        <w:t>S</w:t>
      </w:r>
      <w:r w:rsidRPr="601F5307">
        <w:rPr>
          <w:rFonts w:cs="Calibri"/>
          <w:lang w:val="en-GB"/>
        </w:rPr>
        <w:t>chedule 1.</w:t>
      </w:r>
    </w:p>
    <w:p w:rsidRPr="000744DA" w:rsidR="00FA783F" w:rsidP="00FA783F" w:rsidRDefault="00FA783F" w14:paraId="0D4411EE" w14:textId="2FDD3EF0">
      <w:pPr>
        <w:numPr>
          <w:ilvl w:val="1"/>
          <w:numId w:val="1"/>
        </w:numPr>
        <w:jc w:val="both"/>
        <w:rPr>
          <w:rFonts w:cs="Calibri"/>
          <w:lang w:val="en-GB"/>
        </w:rPr>
      </w:pPr>
      <w:r w:rsidRPr="58A67320">
        <w:rPr>
          <w:rFonts w:cs="Calibri"/>
          <w:lang w:val="en-GB"/>
        </w:rPr>
        <w:t xml:space="preserve">Subject to Clause 5.3, the categories and fields of personal data to be shared as currently set out in </w:t>
      </w:r>
      <w:r w:rsidRPr="58A67320" w:rsidR="3D24205E">
        <w:rPr>
          <w:rFonts w:cs="Calibri"/>
          <w:lang w:val="en-GB"/>
        </w:rPr>
        <w:t>S</w:t>
      </w:r>
      <w:r w:rsidRPr="58A67320">
        <w:rPr>
          <w:rFonts w:cs="Calibri"/>
          <w:lang w:val="en-GB"/>
        </w:rPr>
        <w:t xml:space="preserve">chedule 1 may be revised each year by the </w:t>
      </w:r>
      <w:r w:rsidRPr="58A67320" w:rsidR="3A593DE3">
        <w:rPr>
          <w:rFonts w:cs="Calibri"/>
          <w:lang w:val="en-GB"/>
        </w:rPr>
        <w:t>parties.</w:t>
      </w:r>
    </w:p>
    <w:p w:rsidRPr="000744DA" w:rsidR="00FA783F" w:rsidP="00FA783F" w:rsidRDefault="00FA783F" w14:paraId="007ED44B" w14:textId="6DFF122B">
      <w:pPr>
        <w:numPr>
          <w:ilvl w:val="1"/>
          <w:numId w:val="1"/>
        </w:numPr>
        <w:jc w:val="both"/>
        <w:rPr>
          <w:rFonts w:cs="Calibri"/>
          <w:lang w:val="en-GB"/>
        </w:rPr>
      </w:pPr>
      <w:r w:rsidRPr="000744DA">
        <w:rPr>
          <w:rFonts w:cs="Calibri"/>
          <w:lang w:val="en-GB"/>
        </w:rPr>
        <w:t xml:space="preserve">Such revision of the categories and fields of personal data shall be notified to </w:t>
      </w:r>
      <w:r w:rsidRPr="000744DA" w:rsidR="37F6551E">
        <w:rPr>
          <w:rFonts w:cs="Calibri"/>
          <w:lang w:val="en-GB"/>
        </w:rPr>
        <w:t>the other parties</w:t>
      </w:r>
      <w:r w:rsidRPr="000744DA">
        <w:rPr>
          <w:rFonts w:cs="Calibri"/>
          <w:lang w:val="en-GB"/>
        </w:rPr>
        <w:t xml:space="preserve"> without undue delay. The revised categories and fields of personal data to be shared between the Parties shall form part of the agreement herein without further endorsement of the parties hereto.</w:t>
      </w:r>
    </w:p>
    <w:p w:rsidRPr="000744DA" w:rsidR="00FA783F" w:rsidP="00FA783F" w:rsidRDefault="00FA783F" w14:paraId="07EC488B" w14:textId="77777777">
      <w:pPr>
        <w:numPr>
          <w:ilvl w:val="0"/>
          <w:numId w:val="1"/>
        </w:numPr>
        <w:jc w:val="both"/>
        <w:rPr>
          <w:rFonts w:cs="Calibri"/>
          <w:b/>
          <w:lang w:val="en-GB"/>
        </w:rPr>
      </w:pPr>
      <w:r w:rsidRPr="000744DA">
        <w:rPr>
          <w:rFonts w:cs="Calibri"/>
          <w:b/>
          <w:lang w:val="en-GB"/>
        </w:rPr>
        <w:t>Fair and Lawful Processing</w:t>
      </w:r>
    </w:p>
    <w:p w:rsidRPr="000744DA" w:rsidR="00FA783F" w:rsidP="00FA783F" w:rsidRDefault="00FA783F" w14:paraId="0DAAE617" w14:textId="77777777">
      <w:pPr>
        <w:numPr>
          <w:ilvl w:val="1"/>
          <w:numId w:val="1"/>
        </w:numPr>
        <w:jc w:val="both"/>
        <w:rPr>
          <w:rFonts w:cs="Calibri"/>
          <w:lang w:val="en-GB"/>
        </w:rPr>
      </w:pPr>
      <w:r w:rsidRPr="000744DA">
        <w:rPr>
          <w:rFonts w:cs="Calibri"/>
          <w:lang w:val="en-GB"/>
        </w:rPr>
        <w:t>Each party shall ensure that it processes the shared personal data fairly and lawfully in accordance with this agreement during the term. The parties agree that;</w:t>
      </w:r>
    </w:p>
    <w:p w:rsidRPr="000744DA" w:rsidR="00FA783F" w:rsidP="00FA783F" w:rsidRDefault="00FA783F" w14:paraId="7199BDA4" w14:textId="35A3EE1E">
      <w:pPr>
        <w:numPr>
          <w:ilvl w:val="2"/>
          <w:numId w:val="1"/>
        </w:numPr>
        <w:jc w:val="both"/>
        <w:rPr>
          <w:rFonts w:cs="Calibri"/>
          <w:lang w:val="en-GB"/>
        </w:rPr>
      </w:pPr>
      <w:r w:rsidRPr="000744DA">
        <w:rPr>
          <w:rFonts w:cs="Calibri"/>
          <w:lang w:val="en-GB"/>
        </w:rPr>
        <w:t xml:space="preserve">The </w:t>
      </w:r>
      <w:r w:rsidRPr="000744DA" w:rsidR="7EE08756">
        <w:rPr>
          <w:rFonts w:cs="Calibri"/>
          <w:lang w:val="en-GB"/>
        </w:rPr>
        <w:t>parties</w:t>
      </w:r>
      <w:r w:rsidRPr="000744DA">
        <w:rPr>
          <w:rFonts w:cs="Calibri"/>
          <w:lang w:val="en-GB"/>
        </w:rPr>
        <w:t xml:space="preserve"> shall made the data subject aware of the information required by Article 13 at the point of data collection, </w:t>
      </w:r>
    </w:p>
    <w:p w:rsidRPr="000744DA" w:rsidR="00FA783F" w:rsidP="784F854D" w:rsidRDefault="00FA783F" w14:paraId="41C5861D" w14:textId="7C7C53FA">
      <w:pPr>
        <w:numPr>
          <w:ilvl w:val="2"/>
          <w:numId w:val="1"/>
        </w:numPr>
        <w:jc w:val="both"/>
        <w:rPr>
          <w:rFonts w:asciiTheme="minorHAnsi" w:hAnsiTheme="minorHAnsi" w:eastAsiaTheme="minorEastAsia" w:cstheme="minorBidi"/>
          <w:lang w:val="en-GB"/>
        </w:rPr>
      </w:pPr>
      <w:r w:rsidRPr="000744DA">
        <w:rPr>
          <w:rFonts w:cs="Calibri"/>
          <w:lang w:val="en-GB"/>
        </w:rPr>
        <w:t xml:space="preserve"> processing is necessary for the performance of a</w:t>
      </w:r>
      <w:r w:rsidRPr="000744DA" w:rsidR="4AA2B91F">
        <w:rPr>
          <w:rFonts w:cs="Calibri"/>
          <w:lang w:val="en-GB"/>
        </w:rPr>
        <w:t xml:space="preserve"> contract </w:t>
      </w:r>
      <w:r w:rsidRPr="000744DA" w:rsidR="159098F7">
        <w:rPr>
          <w:rFonts w:cs="Calibri"/>
          <w:lang w:val="en-GB"/>
        </w:rPr>
        <w:t xml:space="preserve">to which the data subject is party or in order to take steps at the request of the data subject prior to entering into a contract and </w:t>
      </w:r>
      <w:r w:rsidRPr="000744DA" w:rsidR="4AA2B91F">
        <w:rPr>
          <w:rFonts w:cs="Calibri"/>
          <w:lang w:val="en-GB"/>
        </w:rPr>
        <w:t xml:space="preserve">pursuant to the </w:t>
      </w:r>
      <w:r w:rsidRPr="000744DA">
        <w:rPr>
          <w:rFonts w:cs="Calibri"/>
          <w:lang w:val="en-GB"/>
        </w:rPr>
        <w:t>Technolog</w:t>
      </w:r>
      <w:r w:rsidRPr="000744DA" w:rsidR="781D734E">
        <w:rPr>
          <w:rFonts w:cs="Calibri"/>
          <w:lang w:val="en-GB"/>
        </w:rPr>
        <w:t>ical</w:t>
      </w:r>
      <w:r w:rsidRPr="000744DA">
        <w:rPr>
          <w:rFonts w:cs="Calibri"/>
          <w:lang w:val="en-GB"/>
        </w:rPr>
        <w:t xml:space="preserve"> Universities Act 201</w:t>
      </w:r>
      <w:r w:rsidRPr="000744DA" w:rsidR="00CF520D">
        <w:rPr>
          <w:rFonts w:cs="Calibri"/>
          <w:lang w:val="en-GB"/>
        </w:rPr>
        <w:t>8</w:t>
      </w:r>
      <w:r w:rsidRPr="000744DA" w:rsidR="00CF520D">
        <w:rPr>
          <w:rStyle w:val="FootnoteReference"/>
          <w:rFonts w:cs="Calibri"/>
          <w:lang w:val="en-GB"/>
        </w:rPr>
        <w:footnoteReference w:id="1"/>
      </w:r>
      <w:r w:rsidRPr="000744DA">
        <w:rPr>
          <w:rFonts w:cs="Calibri"/>
          <w:lang w:val="en-GB"/>
        </w:rPr>
        <w:t>.</w:t>
      </w:r>
      <w:r w:rsidRPr="000744DA" w:rsidR="5256936F">
        <w:rPr>
          <w:rFonts w:cs="Calibri"/>
          <w:lang w:val="en-GB"/>
        </w:rPr>
        <w:t xml:space="preserve"> </w:t>
      </w:r>
    </w:p>
    <w:p w:rsidRPr="000744DA" w:rsidR="00FA783F" w:rsidP="784F854D" w:rsidRDefault="00FA783F" w14:paraId="2C5DC800" w14:textId="0E6F8367">
      <w:pPr>
        <w:numPr>
          <w:ilvl w:val="2"/>
          <w:numId w:val="1"/>
        </w:numPr>
        <w:jc w:val="both"/>
        <w:rPr>
          <w:rFonts w:asciiTheme="minorHAnsi" w:hAnsiTheme="minorHAnsi" w:eastAsiaTheme="minorEastAsia" w:cstheme="minorBidi"/>
          <w:lang w:val="en-GB"/>
        </w:rPr>
      </w:pPr>
      <w:r w:rsidRPr="000744DA">
        <w:rPr>
          <w:rFonts w:cs="Calibri"/>
          <w:lang w:val="en-GB"/>
        </w:rPr>
        <w:t xml:space="preserve">processing of special category data is necessary for reasons of </w:t>
      </w:r>
      <w:r w:rsidRPr="000744DA" w:rsidR="3B7389EE">
        <w:rPr>
          <w:rFonts w:cs="Calibri"/>
          <w:lang w:val="en-GB"/>
        </w:rPr>
        <w:t>processing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r w:rsidRPr="000744DA" w:rsidR="00392315">
        <w:rPr>
          <w:rStyle w:val="FootnoteReference"/>
          <w:rFonts w:cs="Calibri"/>
          <w:lang w:val="en-GB"/>
        </w:rPr>
        <w:footnoteReference w:id="2"/>
      </w:r>
      <w:r w:rsidRPr="000744DA" w:rsidR="00C9204B">
        <w:rPr>
          <w:rFonts w:cs="Calibri"/>
          <w:lang w:val="en-GB"/>
        </w:rPr>
        <w:t>.</w:t>
      </w:r>
    </w:p>
    <w:p w:rsidRPr="000744DA" w:rsidR="00FA783F" w:rsidP="00FA783F" w:rsidRDefault="00FA783F" w14:paraId="12CCAE85" w14:textId="77777777">
      <w:pPr>
        <w:numPr>
          <w:ilvl w:val="2"/>
          <w:numId w:val="1"/>
        </w:numPr>
        <w:jc w:val="both"/>
        <w:rPr>
          <w:rFonts w:cs="Calibri"/>
          <w:lang w:val="en-GB"/>
        </w:rPr>
      </w:pPr>
      <w:r w:rsidRPr="000744DA">
        <w:rPr>
          <w:rFonts w:cs="Calibri"/>
          <w:lang w:val="en-GB"/>
        </w:rPr>
        <w:t xml:space="preserve">statistical data may be processed in accordance with Article 89 of the GDPR and Section 42 of the Data Protection Act 2018. </w:t>
      </w:r>
    </w:p>
    <w:p w:rsidRPr="000744DA" w:rsidR="00FA783F" w:rsidP="00FA783F" w:rsidRDefault="4EB5ED3A" w14:paraId="2D06C2D1" w14:textId="52095B11">
      <w:pPr>
        <w:numPr>
          <w:ilvl w:val="1"/>
          <w:numId w:val="1"/>
        </w:numPr>
        <w:jc w:val="both"/>
        <w:rPr>
          <w:rFonts w:cs="Calibri"/>
          <w:lang w:val="en-GB"/>
        </w:rPr>
      </w:pPr>
      <w:r w:rsidRPr="5EEDB343">
        <w:rPr>
          <w:rFonts w:cs="Calibri"/>
          <w:lang w:val="en-GB"/>
        </w:rPr>
        <w:t>XX</w:t>
      </w:r>
      <w:r w:rsidRPr="5EEDB343" w:rsidR="00FA783F">
        <w:rPr>
          <w:rFonts w:cs="Calibri"/>
          <w:lang w:val="en-GB"/>
        </w:rPr>
        <w:t xml:space="preserve"> undertakes to comply with Article 5 of the General Data Protection Regulation and Section 71 of the Data Protection Act 2018 at all times in the processing of any data received by it. </w:t>
      </w:r>
    </w:p>
    <w:p w:rsidRPr="000744DA" w:rsidR="00FA783F" w:rsidP="00FA783F" w:rsidRDefault="00FA783F" w14:paraId="196B0919" w14:textId="77777777">
      <w:pPr>
        <w:numPr>
          <w:ilvl w:val="0"/>
          <w:numId w:val="1"/>
        </w:numPr>
        <w:jc w:val="both"/>
        <w:rPr>
          <w:rFonts w:cs="Calibri"/>
          <w:b/>
          <w:lang w:val="en-GB"/>
        </w:rPr>
      </w:pPr>
      <w:r w:rsidRPr="000744DA">
        <w:rPr>
          <w:rFonts w:cs="Calibri"/>
          <w:b/>
          <w:lang w:val="en-GB"/>
        </w:rPr>
        <w:t>Data Quality, Accuracy, and Currency</w:t>
      </w:r>
    </w:p>
    <w:p w:rsidRPr="000744DA" w:rsidR="00FA783F" w:rsidP="00FA783F" w:rsidRDefault="00FA783F" w14:paraId="67AD388C" w14:textId="15147F2C">
      <w:pPr>
        <w:numPr>
          <w:ilvl w:val="1"/>
          <w:numId w:val="1"/>
        </w:numPr>
        <w:jc w:val="both"/>
        <w:rPr>
          <w:rFonts w:cs="Calibri"/>
          <w:lang w:val="en-GB"/>
        </w:rPr>
      </w:pPr>
      <w:r>
        <w:t xml:space="preserve"> It is </w:t>
      </w:r>
      <w:r w:rsidR="009E769B">
        <w:t xml:space="preserve">important that TU Dublin and </w:t>
      </w:r>
      <w:r w:rsidR="3ABFFDAD">
        <w:t xml:space="preserve">XX </w:t>
      </w:r>
      <w:r>
        <w:t xml:space="preserve">are in possession of high quality data, in order to </w:t>
      </w:r>
      <w:r w:rsidR="3459EBCB">
        <w:t>XX</w:t>
      </w:r>
      <w:r>
        <w:t xml:space="preserve">.  The </w:t>
      </w:r>
      <w:r w:rsidR="009E769B">
        <w:t>University</w:t>
      </w:r>
      <w:r>
        <w:t xml:space="preserve"> shall ensure that data quality assurance procedures are in place in relation to data provided to </w:t>
      </w:r>
      <w:r w:rsidR="4CEB820B">
        <w:t>XX</w:t>
      </w:r>
      <w:r>
        <w:t xml:space="preserve">.  The </w:t>
      </w:r>
      <w:r w:rsidR="0A8DEF96">
        <w:t>University</w:t>
      </w:r>
      <w:r>
        <w:t xml:space="preserve"> should seek to ensure that data provided to </w:t>
      </w:r>
      <w:r w:rsidR="1F92B048">
        <w:t>XX</w:t>
      </w:r>
      <w:r>
        <w:t xml:space="preserve"> is accurate, complete and up to date.  </w:t>
      </w:r>
    </w:p>
    <w:p w:rsidRPr="000744DA" w:rsidR="00FA783F" w:rsidP="00FA783F" w:rsidRDefault="00FA783F" w14:paraId="7D79D786" w14:textId="77777777">
      <w:pPr>
        <w:numPr>
          <w:ilvl w:val="1"/>
          <w:numId w:val="1"/>
        </w:numPr>
        <w:jc w:val="both"/>
        <w:rPr>
          <w:rFonts w:cs="Calibri"/>
          <w:lang w:val="en-GB"/>
        </w:rPr>
      </w:pPr>
      <w:r w:rsidRPr="000744DA">
        <w:rPr>
          <w:rFonts w:cs="Calibri"/>
          <w:lang w:val="en-GB"/>
        </w:rPr>
        <w:t xml:space="preserve">Where either party becomes aware of inaccuracies in shared personal data, they will notify the other party as soon as reasonably possible and the other party shall take all reasonable steps to rectify such inaccuracies. </w:t>
      </w:r>
    </w:p>
    <w:p w:rsidRPr="000744DA" w:rsidR="00FA783F" w:rsidP="00FA783F" w:rsidRDefault="00FA783F" w14:paraId="1BADA4A7" w14:textId="09BCCE7A">
      <w:pPr>
        <w:numPr>
          <w:ilvl w:val="1"/>
          <w:numId w:val="1"/>
        </w:numPr>
        <w:jc w:val="both"/>
        <w:rPr>
          <w:rFonts w:cs="Calibri"/>
          <w:lang w:val="en-GB"/>
        </w:rPr>
      </w:pPr>
      <w:r w:rsidRPr="000744DA">
        <w:rPr>
          <w:rFonts w:cs="Calibri"/>
          <w:lang w:val="en-GB"/>
        </w:rPr>
        <w:t xml:space="preserve">The shared personal data shall be limited to the personal data described in </w:t>
      </w:r>
      <w:r w:rsidRPr="000744DA" w:rsidR="009E769B">
        <w:rPr>
          <w:rFonts w:cs="Calibri"/>
          <w:b/>
          <w:lang w:val="en-GB"/>
        </w:rPr>
        <w:t>S</w:t>
      </w:r>
      <w:r w:rsidRPr="000744DA">
        <w:rPr>
          <w:rFonts w:cs="Calibri"/>
          <w:b/>
          <w:lang w:val="en-GB"/>
        </w:rPr>
        <w:t>chedule 1</w:t>
      </w:r>
      <w:bookmarkStart w:name="_Hlk15399159" w:id="4"/>
      <w:r w:rsidRPr="000744DA">
        <w:rPr>
          <w:rFonts w:cs="Calibri"/>
          <w:lang w:val="en-GB"/>
        </w:rPr>
        <w:t xml:space="preserve"> save for where a revision is made the categories or fields of personal data in accordance with the terms of Clause 5 of this Agreement.</w:t>
      </w:r>
    </w:p>
    <w:bookmarkEnd w:id="4"/>
    <w:p w:rsidRPr="000744DA" w:rsidR="00FA783F" w:rsidP="00FA783F" w:rsidRDefault="00FA783F" w14:paraId="0A37501D" w14:textId="77777777">
      <w:pPr>
        <w:ind w:left="792"/>
        <w:jc w:val="both"/>
        <w:rPr>
          <w:rFonts w:cs="Calibri"/>
          <w:lang w:val="en-GB"/>
        </w:rPr>
      </w:pPr>
    </w:p>
    <w:p w:rsidRPr="000744DA" w:rsidR="00FA783F" w:rsidP="00FA783F" w:rsidRDefault="00FA783F" w14:paraId="6C9700EB" w14:textId="77777777">
      <w:pPr>
        <w:numPr>
          <w:ilvl w:val="0"/>
          <w:numId w:val="1"/>
        </w:numPr>
        <w:jc w:val="both"/>
        <w:rPr>
          <w:rFonts w:cs="Calibri"/>
          <w:b/>
          <w:lang w:val="en-GB"/>
        </w:rPr>
      </w:pPr>
      <w:r w:rsidRPr="000744DA">
        <w:rPr>
          <w:rFonts w:cs="Calibri"/>
          <w:b/>
          <w:lang w:val="en-GB"/>
        </w:rPr>
        <w:t>Data Subject Rights</w:t>
      </w:r>
    </w:p>
    <w:p w:rsidRPr="000744DA" w:rsidR="00FA783F" w:rsidP="00FA783F" w:rsidRDefault="00FA783F" w14:paraId="2F2C93C6" w14:textId="77777777">
      <w:pPr>
        <w:numPr>
          <w:ilvl w:val="1"/>
          <w:numId w:val="1"/>
        </w:numPr>
        <w:jc w:val="both"/>
        <w:rPr>
          <w:rFonts w:cs="Calibri"/>
          <w:lang w:val="en-GB"/>
        </w:rPr>
      </w:pPr>
      <w:r w:rsidRPr="000744DA">
        <w:rPr>
          <w:rFonts w:cs="Calibri"/>
          <w:lang w:val="en-GB"/>
        </w:rPr>
        <w:t>Chapter 3 GDPR provides for the rights of the Data Subject. Unless agreed otherwise the responsibility for complying with any request made pursuant to Chapter 3 GDPR falls to the party receiving said subject access request. The parties agree insofar as is practicable to provide reasonable and prompt assistance to one another as is necessary to enable them to comply with such requests made and to respond to any other queries or complaints from data subjects.</w:t>
      </w:r>
    </w:p>
    <w:p w:rsidRPr="000744DA" w:rsidR="00FA783F" w:rsidP="00FA783F" w:rsidRDefault="00FA783F" w14:paraId="0B0DF520" w14:textId="77777777">
      <w:pPr>
        <w:numPr>
          <w:ilvl w:val="0"/>
          <w:numId w:val="1"/>
        </w:numPr>
        <w:jc w:val="both"/>
        <w:rPr>
          <w:rFonts w:cs="Calibri"/>
          <w:b/>
          <w:lang w:val="en-GB"/>
        </w:rPr>
      </w:pPr>
      <w:r w:rsidRPr="000744DA">
        <w:rPr>
          <w:rFonts w:cs="Calibri"/>
          <w:b/>
          <w:lang w:val="en-GB"/>
        </w:rPr>
        <w:t xml:space="preserve">Data Retention and Deletion </w:t>
      </w:r>
    </w:p>
    <w:p w:rsidRPr="000744DA" w:rsidR="00FA783F" w:rsidP="00FA783F" w:rsidRDefault="00FA783F" w14:paraId="216750CA" w14:textId="1BC37C2F">
      <w:pPr>
        <w:numPr>
          <w:ilvl w:val="1"/>
          <w:numId w:val="1"/>
        </w:numPr>
        <w:jc w:val="both"/>
        <w:rPr>
          <w:rFonts w:cs="Calibri"/>
          <w:lang w:val="en-GB"/>
        </w:rPr>
      </w:pPr>
      <w:r w:rsidRPr="601F5307">
        <w:rPr>
          <w:rFonts w:cs="Calibri"/>
          <w:lang w:val="en-GB"/>
        </w:rPr>
        <w:t xml:space="preserve">The </w:t>
      </w:r>
      <w:r w:rsidRPr="601F5307" w:rsidR="009E769B">
        <w:rPr>
          <w:rFonts w:cs="Calibri"/>
          <w:lang w:val="en-GB"/>
        </w:rPr>
        <w:t>University</w:t>
      </w:r>
      <w:r w:rsidRPr="601F5307">
        <w:rPr>
          <w:rFonts w:cs="Calibri"/>
          <w:lang w:val="en-GB"/>
        </w:rPr>
        <w:t xml:space="preserve"> is referred to the most recent </w:t>
      </w:r>
      <w:r w:rsidRPr="601F5307" w:rsidR="11580683">
        <w:rPr>
          <w:rFonts w:cs="Calibri"/>
          <w:lang w:val="en-GB"/>
        </w:rPr>
        <w:t>XX</w:t>
      </w:r>
      <w:r w:rsidRPr="601F5307">
        <w:rPr>
          <w:rFonts w:cs="Calibri"/>
          <w:lang w:val="en-GB"/>
        </w:rPr>
        <w:t xml:space="preserve"> Data Retention Schedule </w:t>
      </w:r>
      <w:r w:rsidRPr="601F5307" w:rsidR="31E7342F">
        <w:rPr>
          <w:rFonts w:cs="Calibri"/>
          <w:lang w:val="en-GB"/>
        </w:rPr>
        <w:t xml:space="preserve">as outlined </w:t>
      </w:r>
      <w:r w:rsidRPr="601F5307">
        <w:rPr>
          <w:rFonts w:cs="Calibri"/>
          <w:lang w:val="en-GB"/>
        </w:rPr>
        <w:t xml:space="preserve">in </w:t>
      </w:r>
      <w:r w:rsidRPr="601F5307" w:rsidR="009E769B">
        <w:rPr>
          <w:rFonts w:cs="Calibri"/>
          <w:b/>
          <w:bCs/>
          <w:lang w:val="en-GB"/>
        </w:rPr>
        <w:t>S</w:t>
      </w:r>
      <w:r w:rsidRPr="601F5307">
        <w:rPr>
          <w:rFonts w:cs="Calibri"/>
          <w:b/>
          <w:bCs/>
          <w:lang w:val="en-GB"/>
        </w:rPr>
        <w:t xml:space="preserve">chedule </w:t>
      </w:r>
      <w:r w:rsidRPr="601F5307" w:rsidR="5E6EF392">
        <w:rPr>
          <w:rFonts w:cs="Calibri"/>
          <w:b/>
          <w:bCs/>
          <w:lang w:val="en-GB"/>
        </w:rPr>
        <w:t>1</w:t>
      </w:r>
      <w:r w:rsidRPr="601F5307">
        <w:rPr>
          <w:rFonts w:cs="Calibri"/>
          <w:lang w:val="en-GB"/>
        </w:rPr>
        <w:t xml:space="preserve">. All information shared with </w:t>
      </w:r>
      <w:r w:rsidRPr="601F5307" w:rsidR="4A5E32BA">
        <w:rPr>
          <w:rFonts w:cs="Calibri"/>
          <w:lang w:val="en-GB"/>
        </w:rPr>
        <w:t>xx</w:t>
      </w:r>
      <w:r w:rsidRPr="601F5307">
        <w:rPr>
          <w:rFonts w:cs="Calibri"/>
          <w:lang w:val="en-GB"/>
        </w:rPr>
        <w:t xml:space="preserve"> will be retained in accordance with this schedule, which may be updated periodically and notified to </w:t>
      </w:r>
      <w:r w:rsidRPr="601F5307" w:rsidR="009E769B">
        <w:rPr>
          <w:rFonts w:cs="Calibri"/>
          <w:lang w:val="en-GB"/>
        </w:rPr>
        <w:t>the University</w:t>
      </w:r>
      <w:r w:rsidRPr="601F5307">
        <w:rPr>
          <w:rFonts w:cs="Calibri"/>
          <w:lang w:val="en-GB"/>
        </w:rPr>
        <w:t xml:space="preserve"> as appropriate. </w:t>
      </w:r>
    </w:p>
    <w:p w:rsidRPr="000744DA" w:rsidR="00FA783F" w:rsidP="00FA783F" w:rsidRDefault="00FA783F" w14:paraId="16B4C67F" w14:textId="016BC7AB">
      <w:pPr>
        <w:numPr>
          <w:ilvl w:val="1"/>
          <w:numId w:val="1"/>
        </w:numPr>
        <w:jc w:val="both"/>
        <w:rPr>
          <w:rFonts w:cs="Calibri"/>
          <w:lang w:val="en-GB"/>
        </w:rPr>
      </w:pPr>
      <w:r w:rsidRPr="5EEDB343">
        <w:rPr>
          <w:rFonts w:cs="Calibri"/>
          <w:lang w:val="en-GB"/>
        </w:rPr>
        <w:t xml:space="preserve">Data destroyed by </w:t>
      </w:r>
      <w:r w:rsidRPr="5EEDB343" w:rsidR="494251A2">
        <w:rPr>
          <w:rFonts w:cs="Calibri"/>
          <w:lang w:val="en-GB"/>
        </w:rPr>
        <w:t>XX</w:t>
      </w:r>
      <w:r w:rsidRPr="5EEDB343">
        <w:rPr>
          <w:rFonts w:cs="Calibri"/>
          <w:lang w:val="en-GB"/>
        </w:rPr>
        <w:t xml:space="preserve"> at the end of the retention period shall be done in a secure and verifiable manner. </w:t>
      </w:r>
    </w:p>
    <w:p w:rsidRPr="000744DA" w:rsidR="00FA783F" w:rsidP="00FA783F" w:rsidRDefault="00FA783F" w14:paraId="5DAB6C7B" w14:textId="77777777">
      <w:pPr>
        <w:jc w:val="both"/>
        <w:rPr>
          <w:rFonts w:cs="Calibri"/>
          <w:b/>
          <w:lang w:val="en-GB"/>
        </w:rPr>
      </w:pPr>
    </w:p>
    <w:p w:rsidRPr="000744DA" w:rsidR="00FA783F" w:rsidP="00FA783F" w:rsidRDefault="00FA783F" w14:paraId="06917304" w14:textId="77777777">
      <w:pPr>
        <w:numPr>
          <w:ilvl w:val="0"/>
          <w:numId w:val="1"/>
        </w:numPr>
        <w:jc w:val="both"/>
        <w:rPr>
          <w:rFonts w:cs="Calibri"/>
          <w:b/>
          <w:lang w:val="en-GB"/>
        </w:rPr>
      </w:pPr>
      <w:r w:rsidRPr="000744DA">
        <w:rPr>
          <w:rFonts w:cs="Calibri"/>
          <w:b/>
          <w:lang w:val="en-GB"/>
        </w:rPr>
        <w:t>Sharing with Third Parties</w:t>
      </w:r>
    </w:p>
    <w:p w:rsidRPr="000744DA" w:rsidR="00FA783F" w:rsidP="5EEDB343" w:rsidRDefault="5CB12A68" w14:paraId="220A75D5" w14:textId="1CAA957C">
      <w:pPr>
        <w:numPr>
          <w:ilvl w:val="1"/>
          <w:numId w:val="3"/>
        </w:numPr>
        <w:jc w:val="both"/>
        <w:rPr>
          <w:rFonts w:cs="Calibri"/>
          <w:b/>
          <w:bCs/>
          <w:lang w:val="en-GB"/>
        </w:rPr>
      </w:pPr>
      <w:r w:rsidRPr="5EEDB343">
        <w:rPr>
          <w:rFonts w:cs="Calibri"/>
          <w:lang w:val="en-GB"/>
        </w:rPr>
        <w:t>XX</w:t>
      </w:r>
      <w:r w:rsidRPr="5EEDB343" w:rsidR="00FA783F">
        <w:rPr>
          <w:rFonts w:cs="Calibri"/>
          <w:lang w:val="en-GB"/>
        </w:rPr>
        <w:t xml:space="preserve"> shall not share the shared personal data with any third party except wherein required as set out in Clause 10.2 or permitted by law or by Court order. </w:t>
      </w:r>
    </w:p>
    <w:p w:rsidRPr="000744DA" w:rsidR="00FA783F" w:rsidP="784F854D" w:rsidRDefault="471EB8E7" w14:paraId="33E8B267" w14:textId="26879F23">
      <w:pPr>
        <w:numPr>
          <w:ilvl w:val="1"/>
          <w:numId w:val="3"/>
        </w:numPr>
        <w:jc w:val="both"/>
        <w:rPr>
          <w:rFonts w:cs="Calibri"/>
          <w:b/>
          <w:bCs/>
          <w:lang w:val="en-GB"/>
        </w:rPr>
      </w:pPr>
      <w:r w:rsidRPr="5EEDB343">
        <w:rPr>
          <w:rFonts w:cs="Calibri"/>
          <w:lang w:val="en-GB"/>
        </w:rPr>
        <w:t>XX</w:t>
      </w:r>
      <w:r w:rsidRPr="5EEDB343" w:rsidR="00FA783F">
        <w:rPr>
          <w:rFonts w:cs="Calibri"/>
          <w:lang w:val="en-GB"/>
        </w:rPr>
        <w:t xml:space="preserve"> </w:t>
      </w:r>
      <w:r w:rsidRPr="5EEDB343" w:rsidR="211A541E">
        <w:rPr>
          <w:rFonts w:cs="Calibri"/>
          <w:lang w:val="en-GB"/>
        </w:rPr>
        <w:t>may</w:t>
      </w:r>
      <w:r w:rsidRPr="5EEDB343" w:rsidR="00FA783F">
        <w:rPr>
          <w:rFonts w:cs="Calibri"/>
          <w:lang w:val="en-GB"/>
        </w:rPr>
        <w:t xml:space="preserve"> share personal data </w:t>
      </w:r>
      <w:r w:rsidRPr="5EEDB343" w:rsidR="2C89020F">
        <w:rPr>
          <w:rFonts w:cs="Calibri"/>
          <w:lang w:val="en-GB"/>
        </w:rPr>
        <w:t>received from</w:t>
      </w:r>
      <w:r w:rsidRPr="5EEDB343" w:rsidR="00FA783F">
        <w:rPr>
          <w:rFonts w:cs="Calibri"/>
          <w:lang w:val="en-GB"/>
        </w:rPr>
        <w:t xml:space="preserve"> </w:t>
      </w:r>
      <w:r w:rsidRPr="5EEDB343" w:rsidR="77A752C3">
        <w:rPr>
          <w:rFonts w:cs="Calibri"/>
          <w:lang w:val="en-GB"/>
        </w:rPr>
        <w:t>the University</w:t>
      </w:r>
      <w:r w:rsidRPr="5EEDB343" w:rsidR="00FA783F">
        <w:rPr>
          <w:rFonts w:cs="Calibri"/>
          <w:lang w:val="en-GB"/>
        </w:rPr>
        <w:t xml:space="preserve"> with a third party</w:t>
      </w:r>
      <w:r w:rsidRPr="5EEDB343" w:rsidR="25C9D87C">
        <w:rPr>
          <w:rFonts w:cs="Calibri"/>
          <w:lang w:val="en-GB"/>
        </w:rPr>
        <w:t xml:space="preserve"> where necessary for the performance of a contract to which the data subject is a party or with the consent of the data subject</w:t>
      </w:r>
      <w:r w:rsidRPr="5EEDB343" w:rsidR="00FA783F">
        <w:rPr>
          <w:rFonts w:cs="Calibri"/>
          <w:lang w:val="en-GB"/>
        </w:rPr>
        <w:t xml:space="preserve">.  </w:t>
      </w:r>
    </w:p>
    <w:p w:rsidRPr="000744DA" w:rsidR="00FA783F" w:rsidP="5EEDB343" w:rsidRDefault="5E2B1685" w14:paraId="61B80CC6" w14:textId="0695B58D">
      <w:pPr>
        <w:numPr>
          <w:ilvl w:val="1"/>
          <w:numId w:val="3"/>
        </w:numPr>
        <w:jc w:val="both"/>
        <w:rPr>
          <w:rFonts w:cs="Calibri"/>
          <w:b/>
          <w:bCs/>
          <w:lang w:val="en-GB"/>
        </w:rPr>
      </w:pPr>
      <w:r w:rsidRPr="5EEDB343">
        <w:rPr>
          <w:rFonts w:cs="Calibri"/>
          <w:lang w:val="en-GB"/>
        </w:rPr>
        <w:t>XX</w:t>
      </w:r>
      <w:r w:rsidRPr="5EEDB343" w:rsidR="00FA783F">
        <w:rPr>
          <w:rFonts w:cs="Calibri"/>
          <w:lang w:val="en-GB"/>
        </w:rPr>
        <w:t xml:space="preserve"> will only engage data processors in accordance with Chapter 4 GDPR and will not transfer shared data outside the EEA except in accordance with Chapter 5 GDPR. </w:t>
      </w:r>
    </w:p>
    <w:p w:rsidRPr="000744DA" w:rsidR="00FA783F" w:rsidP="00FA783F" w:rsidRDefault="00FA783F" w14:paraId="02EB378F" w14:textId="77777777">
      <w:pPr>
        <w:jc w:val="both"/>
        <w:rPr>
          <w:rFonts w:cs="Calibri"/>
          <w:b/>
          <w:lang w:val="en-GB"/>
        </w:rPr>
      </w:pPr>
    </w:p>
    <w:p w:rsidRPr="000744DA" w:rsidR="00FA783F" w:rsidP="00FA783F" w:rsidRDefault="00FA783F" w14:paraId="7B1A19E9" w14:textId="77777777">
      <w:pPr>
        <w:numPr>
          <w:ilvl w:val="0"/>
          <w:numId w:val="1"/>
        </w:numPr>
        <w:jc w:val="both"/>
        <w:rPr>
          <w:rFonts w:cs="Calibri"/>
          <w:b/>
          <w:lang w:val="en-GB"/>
        </w:rPr>
      </w:pPr>
      <w:r w:rsidRPr="000744DA">
        <w:rPr>
          <w:rFonts w:cs="Calibri"/>
          <w:b/>
          <w:lang w:val="en-GB"/>
        </w:rPr>
        <w:t xml:space="preserve"> Security </w:t>
      </w:r>
    </w:p>
    <w:p w:rsidRPr="000744DA" w:rsidR="00FA783F" w:rsidP="00FA783F" w:rsidRDefault="00FA783F" w14:paraId="26DBA1BD" w14:textId="0E1EBE46">
      <w:pPr>
        <w:numPr>
          <w:ilvl w:val="1"/>
          <w:numId w:val="1"/>
        </w:numPr>
        <w:jc w:val="both"/>
        <w:rPr>
          <w:rFonts w:cs="Calibri"/>
          <w:lang w:val="en-GB"/>
        </w:rPr>
      </w:pPr>
      <w:r w:rsidRPr="5EEDB343">
        <w:rPr>
          <w:rFonts w:cs="Calibri"/>
          <w:lang w:val="en-GB"/>
        </w:rPr>
        <w:t xml:space="preserve">The </w:t>
      </w:r>
      <w:r w:rsidRPr="5EEDB343" w:rsidR="000B5A78">
        <w:rPr>
          <w:rFonts w:cs="Calibri"/>
          <w:lang w:val="en-GB"/>
        </w:rPr>
        <w:t>University</w:t>
      </w:r>
      <w:r w:rsidRPr="5EEDB343">
        <w:rPr>
          <w:rFonts w:cs="Calibri"/>
          <w:lang w:val="en-GB"/>
        </w:rPr>
        <w:t xml:space="preserve"> shall be responsible for the security of transmission of any shared personal data in transmission to </w:t>
      </w:r>
      <w:r w:rsidRPr="5EEDB343" w:rsidR="44FAD402">
        <w:rPr>
          <w:rFonts w:cs="Calibri"/>
          <w:lang w:val="en-GB"/>
        </w:rPr>
        <w:t>XX</w:t>
      </w:r>
      <w:r w:rsidRPr="5EEDB343">
        <w:rPr>
          <w:rFonts w:cs="Calibri"/>
          <w:lang w:val="en-GB"/>
        </w:rPr>
        <w:t xml:space="preserve"> by using appropriate technical methods</w:t>
      </w:r>
      <w:r w:rsidRPr="5EEDB343" w:rsidR="4A1A6196">
        <w:rPr>
          <w:rFonts w:cs="Calibri"/>
          <w:lang w:val="en-GB"/>
        </w:rPr>
        <w:t>.</w:t>
      </w:r>
    </w:p>
    <w:p w:rsidRPr="000744DA" w:rsidR="00FA783F" w:rsidP="00FA783F" w:rsidRDefault="00FA783F" w14:paraId="5CA39528" w14:textId="77777777">
      <w:pPr>
        <w:numPr>
          <w:ilvl w:val="1"/>
          <w:numId w:val="1"/>
        </w:numPr>
        <w:jc w:val="both"/>
        <w:rPr>
          <w:rFonts w:cs="Calibri"/>
          <w:lang w:val="en-GB"/>
        </w:rPr>
      </w:pPr>
      <w:r w:rsidRPr="000744DA">
        <w:rPr>
          <w:rFonts w:cs="Calibri"/>
          <w:lang w:val="en-GB"/>
        </w:rPr>
        <w:t xml:space="preserve">The Parties agree to implement appropriate technical and organisational measures in accordance with Article 32 of the GDPR to protect the shared personal data in their possession against any Personal Data Breach. </w:t>
      </w:r>
    </w:p>
    <w:p w:rsidRPr="000744DA" w:rsidR="00FA783F" w:rsidP="00FA783F" w:rsidRDefault="3DA80BE6" w14:paraId="65B8AB0C" w14:textId="58DBCF29">
      <w:pPr>
        <w:numPr>
          <w:ilvl w:val="1"/>
          <w:numId w:val="1"/>
        </w:numPr>
        <w:jc w:val="both"/>
        <w:rPr>
          <w:rFonts w:cs="Calibri"/>
          <w:lang w:val="en-GB"/>
        </w:rPr>
      </w:pPr>
      <w:r w:rsidRPr="5EEDB343">
        <w:rPr>
          <w:rFonts w:cs="Calibri"/>
          <w:lang w:val="en-GB"/>
        </w:rPr>
        <w:t>Both parties</w:t>
      </w:r>
      <w:r w:rsidRPr="5EEDB343" w:rsidR="00FA783F">
        <w:rPr>
          <w:rFonts w:cs="Calibri"/>
          <w:lang w:val="en-GB"/>
        </w:rPr>
        <w:t xml:space="preserve"> shall ensure that relevant staff are adequately trained in dealing with personal data, particularly special category data. </w:t>
      </w:r>
    </w:p>
    <w:p w:rsidRPr="000744DA" w:rsidR="00FA783F" w:rsidP="00FA783F" w:rsidRDefault="00FA783F" w14:paraId="43B3C2F6" w14:textId="77777777">
      <w:pPr>
        <w:numPr>
          <w:ilvl w:val="0"/>
          <w:numId w:val="1"/>
        </w:numPr>
        <w:jc w:val="both"/>
        <w:rPr>
          <w:rFonts w:cs="Calibri"/>
          <w:lang w:val="en-GB"/>
        </w:rPr>
      </w:pPr>
      <w:r w:rsidRPr="000744DA">
        <w:rPr>
          <w:rFonts w:cs="Calibri"/>
          <w:b/>
          <w:lang w:val="en-GB"/>
        </w:rPr>
        <w:t>Data Breaches and Reporting</w:t>
      </w:r>
    </w:p>
    <w:p w:rsidRPr="000744DA" w:rsidR="00FA783F" w:rsidP="00FA783F" w:rsidRDefault="1AC77DF3" w14:paraId="4DE64E51" w14:textId="119215D0">
      <w:pPr>
        <w:numPr>
          <w:ilvl w:val="1"/>
          <w:numId w:val="4"/>
        </w:numPr>
        <w:jc w:val="both"/>
        <w:rPr>
          <w:rFonts w:cs="Calibri"/>
          <w:lang w:val="en-GB"/>
        </w:rPr>
      </w:pPr>
      <w:bookmarkStart w:name="_Ref499673199" w:id="5"/>
      <w:r w:rsidRPr="5EEDB343">
        <w:rPr>
          <w:rFonts w:cs="Calibri"/>
          <w:lang w:val="en-GB"/>
        </w:rPr>
        <w:t>XX</w:t>
      </w:r>
      <w:r w:rsidRPr="5EEDB343" w:rsidR="00FA783F">
        <w:rPr>
          <w:rFonts w:cs="Calibri"/>
          <w:lang w:val="en-GB"/>
        </w:rPr>
        <w:t xml:space="preserve"> agrees to </w:t>
      </w:r>
      <w:bookmarkEnd w:id="5"/>
      <w:r w:rsidRPr="5EEDB343" w:rsidR="00FA783F">
        <w:rPr>
          <w:rFonts w:cs="Calibri"/>
          <w:lang w:val="en-GB"/>
        </w:rPr>
        <w:t xml:space="preserve">comply with all applicable laws and regulations, the GDPR and with best practice in the area of IT security. </w:t>
      </w:r>
    </w:p>
    <w:p w:rsidRPr="000744DA" w:rsidR="00FA783F" w:rsidP="00FA783F" w:rsidRDefault="00FA783F" w14:paraId="4A0A1CAA" w14:textId="36518CCA">
      <w:pPr>
        <w:numPr>
          <w:ilvl w:val="1"/>
          <w:numId w:val="4"/>
        </w:numPr>
        <w:jc w:val="both"/>
        <w:rPr>
          <w:rFonts w:cs="Calibri"/>
          <w:lang w:val="en-GB"/>
        </w:rPr>
      </w:pPr>
      <w:r w:rsidRPr="5EEDB343">
        <w:rPr>
          <w:rFonts w:cs="Calibri"/>
          <w:lang w:val="en-GB"/>
        </w:rPr>
        <w:t xml:space="preserve">In the event of a Personal Data Breach by either </w:t>
      </w:r>
      <w:r w:rsidRPr="5EEDB343" w:rsidR="000B5A78">
        <w:rPr>
          <w:rFonts w:cs="Calibri"/>
          <w:lang w:val="en-GB"/>
        </w:rPr>
        <w:t xml:space="preserve">the University or </w:t>
      </w:r>
      <w:r w:rsidRPr="5EEDB343" w:rsidR="7F5CD60E">
        <w:rPr>
          <w:rFonts w:cs="Calibri"/>
          <w:lang w:val="en-GB"/>
        </w:rPr>
        <w:t>XX</w:t>
      </w:r>
      <w:r w:rsidRPr="5EEDB343">
        <w:rPr>
          <w:rFonts w:cs="Calibri"/>
          <w:lang w:val="en-GB"/>
        </w:rPr>
        <w:t xml:space="preserve">, if the breach will have implications for the shared data as per this agreement, either party shall notify the other </w:t>
      </w:r>
      <w:r w:rsidRPr="5EEDB343" w:rsidR="5E864047">
        <w:rPr>
          <w:rFonts w:cs="Calibri"/>
          <w:lang w:val="en-GB"/>
        </w:rPr>
        <w:t xml:space="preserve">as soon as possible but no later than </w:t>
      </w:r>
      <w:r w:rsidRPr="5EEDB343">
        <w:rPr>
          <w:rFonts w:cs="Calibri"/>
          <w:lang w:val="en-GB"/>
        </w:rPr>
        <w:t xml:space="preserve">within 24 hours. </w:t>
      </w:r>
    </w:p>
    <w:p w:rsidRPr="000744DA" w:rsidR="00FA783F" w:rsidP="00FA783F" w:rsidRDefault="00FA783F" w14:paraId="4EC12B0C" w14:textId="489D3266">
      <w:pPr>
        <w:numPr>
          <w:ilvl w:val="1"/>
          <w:numId w:val="4"/>
        </w:numPr>
        <w:jc w:val="both"/>
        <w:rPr>
          <w:rFonts w:cs="Calibri"/>
          <w:lang w:val="en-GB"/>
        </w:rPr>
      </w:pPr>
      <w:r w:rsidRPr="5EEDB343">
        <w:rPr>
          <w:rFonts w:cs="Calibri"/>
          <w:lang w:val="en-GB"/>
        </w:rPr>
        <w:t>In the case of a Personal Data Breach</w:t>
      </w:r>
      <w:r w:rsidRPr="5EEDB343" w:rsidR="2E24A981">
        <w:rPr>
          <w:rFonts w:cs="Calibri"/>
          <w:lang w:val="en-GB"/>
        </w:rPr>
        <w:t>,</w:t>
      </w:r>
      <w:r w:rsidRPr="5EEDB343" w:rsidR="02DA1547">
        <w:rPr>
          <w:rFonts w:cs="Calibri"/>
          <w:lang w:val="en-GB"/>
        </w:rPr>
        <w:t xml:space="preserve"> </w:t>
      </w:r>
      <w:r w:rsidRPr="5EEDB343">
        <w:rPr>
          <w:rFonts w:cs="Calibri"/>
          <w:lang w:val="en-GB"/>
        </w:rPr>
        <w:t xml:space="preserve">the parties agree to provide reasonable assistance to each other to facilitate the handling of such a breach in an expeditious and compliant manner. </w:t>
      </w:r>
    </w:p>
    <w:p w:rsidRPr="000744DA" w:rsidR="00FA783F" w:rsidP="00FA783F" w:rsidRDefault="00FA783F" w14:paraId="0AD4EA80" w14:textId="77777777">
      <w:pPr>
        <w:numPr>
          <w:ilvl w:val="1"/>
          <w:numId w:val="4"/>
        </w:numPr>
        <w:jc w:val="both"/>
        <w:rPr>
          <w:rFonts w:cs="Calibri"/>
          <w:lang w:val="en-GB"/>
        </w:rPr>
      </w:pPr>
      <w:r w:rsidRPr="000744DA">
        <w:rPr>
          <w:rFonts w:cs="Calibri"/>
          <w:lang w:val="en-GB"/>
        </w:rPr>
        <w:t>Both parties agree to co-operate in the eventuality of an audit in investigation carried out by the Data Protection Commissioner.</w:t>
      </w:r>
    </w:p>
    <w:p w:rsidRPr="000744DA" w:rsidR="00FA783F" w:rsidP="00FA783F" w:rsidRDefault="00FA783F" w14:paraId="5E28EAA4" w14:textId="4778B45C">
      <w:pPr>
        <w:numPr>
          <w:ilvl w:val="1"/>
          <w:numId w:val="4"/>
        </w:numPr>
        <w:jc w:val="both"/>
        <w:rPr>
          <w:rFonts w:cs="Calibri"/>
          <w:lang w:val="en-GB"/>
        </w:rPr>
      </w:pPr>
      <w:r w:rsidRPr="5EEDB343">
        <w:rPr>
          <w:rFonts w:cs="Calibri"/>
          <w:lang w:val="en-GB"/>
        </w:rPr>
        <w:t xml:space="preserve">In the event that a Personal Data Breach occurs in respect of the Shared Personal Data while the Shared Personal Data is under the control of </w:t>
      </w:r>
      <w:r w:rsidRPr="5EEDB343" w:rsidR="3D614C52">
        <w:rPr>
          <w:rFonts w:cs="Calibri"/>
          <w:lang w:val="en-GB"/>
        </w:rPr>
        <w:t>XX</w:t>
      </w:r>
      <w:r w:rsidRPr="5EEDB343">
        <w:rPr>
          <w:rFonts w:cs="Calibri"/>
          <w:lang w:val="en-GB"/>
        </w:rPr>
        <w:t xml:space="preserve">, </w:t>
      </w:r>
      <w:r w:rsidRPr="5EEDB343" w:rsidR="19E25E20">
        <w:rPr>
          <w:rFonts w:cs="Calibri"/>
          <w:lang w:val="en-GB"/>
        </w:rPr>
        <w:t>XX</w:t>
      </w:r>
      <w:r w:rsidRPr="5EEDB343">
        <w:rPr>
          <w:rFonts w:cs="Calibri"/>
          <w:lang w:val="en-GB"/>
        </w:rPr>
        <w:t xml:space="preserve"> will be responsible for informing data subjects where the parties have determined the personal data breach is likely to result in a high risk to the rights and freedoms of the data subjects in accordance with Article 34 of the GDPR. </w:t>
      </w:r>
    </w:p>
    <w:p w:rsidRPr="000744DA" w:rsidR="00FA783F" w:rsidP="00FA783F" w:rsidRDefault="00FA783F" w14:paraId="07ED5907" w14:textId="77777777">
      <w:pPr>
        <w:numPr>
          <w:ilvl w:val="0"/>
          <w:numId w:val="1"/>
        </w:numPr>
        <w:jc w:val="both"/>
        <w:rPr>
          <w:rFonts w:cs="Calibri"/>
          <w:b/>
          <w:lang w:val="en-GB"/>
        </w:rPr>
      </w:pPr>
      <w:r w:rsidRPr="000744DA">
        <w:rPr>
          <w:rFonts w:cs="Calibri"/>
          <w:b/>
          <w:lang w:val="en-GB"/>
        </w:rPr>
        <w:t>Duration</w:t>
      </w:r>
    </w:p>
    <w:p w:rsidRPr="000744DA" w:rsidR="00FA783F" w:rsidP="00FA783F" w:rsidRDefault="00FA783F" w14:paraId="32D4A583" w14:textId="1B5DDADB">
      <w:pPr>
        <w:numPr>
          <w:ilvl w:val="1"/>
          <w:numId w:val="1"/>
        </w:numPr>
        <w:jc w:val="both"/>
        <w:rPr>
          <w:rFonts w:cs="Calibri"/>
          <w:lang w:val="en-GB"/>
        </w:rPr>
      </w:pPr>
      <w:r w:rsidRPr="58A67320">
        <w:rPr>
          <w:rFonts w:cs="Calibri"/>
          <w:lang w:val="en-GB"/>
        </w:rPr>
        <w:t xml:space="preserve">This agreement shall remain in force for the duration of </w:t>
      </w:r>
      <w:r w:rsidRPr="58A67320" w:rsidR="0BACB0EB">
        <w:rPr>
          <w:rFonts w:cs="Calibri"/>
          <w:lang w:val="en-GB"/>
        </w:rPr>
        <w:t>the Service Level Agreement</w:t>
      </w:r>
      <w:r w:rsidRPr="58A67320">
        <w:rPr>
          <w:rFonts w:cs="Calibri"/>
          <w:lang w:val="en-GB"/>
        </w:rPr>
        <w:t xml:space="preserve">, or until the Parties agree to terminate the agreement in writing. Should either party cease to exist, this agreement shall be terminated. </w:t>
      </w:r>
    </w:p>
    <w:p w:rsidRPr="000744DA" w:rsidR="00FA783F" w:rsidP="00FA783F" w:rsidRDefault="00FA783F" w14:paraId="2EB7E151" w14:textId="77777777">
      <w:pPr>
        <w:numPr>
          <w:ilvl w:val="0"/>
          <w:numId w:val="1"/>
        </w:numPr>
        <w:jc w:val="both"/>
        <w:rPr>
          <w:rFonts w:cs="Calibri"/>
          <w:lang w:val="en-GB"/>
        </w:rPr>
      </w:pPr>
      <w:r w:rsidRPr="000744DA">
        <w:rPr>
          <w:rFonts w:cs="Calibri"/>
          <w:b/>
          <w:lang w:val="en-GB"/>
        </w:rPr>
        <w:t>Variation</w:t>
      </w:r>
      <w:r w:rsidRPr="000744DA">
        <w:rPr>
          <w:rFonts w:cs="Calibri"/>
          <w:lang w:val="en-GB"/>
        </w:rPr>
        <w:t xml:space="preserve"> </w:t>
      </w:r>
    </w:p>
    <w:p w:rsidRPr="000744DA" w:rsidR="00FA783F" w:rsidP="00FA783F" w:rsidRDefault="00FA783F" w14:paraId="17A68305" w14:textId="77777777">
      <w:pPr>
        <w:numPr>
          <w:ilvl w:val="1"/>
          <w:numId w:val="1"/>
        </w:numPr>
        <w:jc w:val="both"/>
        <w:rPr>
          <w:rFonts w:cs="Calibri"/>
          <w:lang w:val="en-GB"/>
        </w:rPr>
      </w:pPr>
      <w:r w:rsidRPr="000744DA">
        <w:rPr>
          <w:rFonts w:cs="Calibri"/>
          <w:lang w:val="en-GB"/>
        </w:rPr>
        <w:t xml:space="preserve">No variation of this agreement shall be effective unless it is in writing and signed by the parties to this agreement. </w:t>
      </w:r>
    </w:p>
    <w:p w:rsidRPr="000744DA" w:rsidR="00FA783F" w:rsidP="00FA783F" w:rsidRDefault="00FA783F" w14:paraId="69CDB111" w14:textId="77777777">
      <w:pPr>
        <w:numPr>
          <w:ilvl w:val="0"/>
          <w:numId w:val="1"/>
        </w:numPr>
        <w:jc w:val="both"/>
        <w:rPr>
          <w:rFonts w:cs="Calibri"/>
          <w:b/>
          <w:lang w:val="en-GB"/>
        </w:rPr>
      </w:pPr>
      <w:r w:rsidRPr="000744DA">
        <w:rPr>
          <w:rFonts w:cs="Calibri"/>
          <w:b/>
          <w:lang w:val="en-GB"/>
        </w:rPr>
        <w:t xml:space="preserve">Severance </w:t>
      </w:r>
    </w:p>
    <w:p w:rsidRPr="000744DA" w:rsidR="00FA783F" w:rsidP="00FA783F" w:rsidRDefault="00FA783F" w14:paraId="22D3955D" w14:textId="77777777">
      <w:pPr>
        <w:numPr>
          <w:ilvl w:val="1"/>
          <w:numId w:val="1"/>
        </w:numPr>
        <w:jc w:val="both"/>
        <w:rPr>
          <w:rFonts w:cs="Calibri"/>
          <w:lang w:val="en-GB"/>
        </w:rPr>
      </w:pPr>
      <w:r w:rsidRPr="000744DA">
        <w:rPr>
          <w:rFonts w:cs="Calibri"/>
          <w:lang w:val="en-GB"/>
        </w:rPr>
        <w:t>If any provision of this agreement (or part of any provision) is found by any court or other authority of competent jurisdiction to be invalid, illegal or unenforceable, that provision or part-provision shall, to the extent required, be deemed not to form part of this agreement, and the validity and enforceability of the other provisions of this agreement shall not be affected.</w:t>
      </w:r>
    </w:p>
    <w:p w:rsidRPr="000744DA" w:rsidR="00FA783F" w:rsidP="00FA783F" w:rsidRDefault="00FA783F" w14:paraId="239A35DE" w14:textId="77777777">
      <w:pPr>
        <w:numPr>
          <w:ilvl w:val="0"/>
          <w:numId w:val="1"/>
        </w:numPr>
        <w:jc w:val="both"/>
        <w:rPr>
          <w:rFonts w:cs="Calibri"/>
          <w:b/>
          <w:lang w:val="en-GB"/>
        </w:rPr>
      </w:pPr>
      <w:r w:rsidRPr="000744DA">
        <w:rPr>
          <w:rFonts w:cs="Calibri"/>
          <w:b/>
          <w:lang w:val="en-GB"/>
        </w:rPr>
        <w:t>Jurisdiction</w:t>
      </w:r>
    </w:p>
    <w:p w:rsidRPr="000744DA" w:rsidR="00FA783F" w:rsidP="00FA783F" w:rsidRDefault="00FA783F" w14:paraId="1269F2F4" w14:textId="77777777">
      <w:pPr>
        <w:numPr>
          <w:ilvl w:val="1"/>
          <w:numId w:val="1"/>
        </w:numPr>
        <w:jc w:val="both"/>
        <w:rPr>
          <w:rFonts w:cs="Calibri"/>
          <w:lang w:val="en-GB"/>
        </w:rPr>
      </w:pPr>
      <w:r w:rsidRPr="000744DA">
        <w:rPr>
          <w:rFonts w:cs="Calibri"/>
          <w:lang w:val="en-GB"/>
        </w:rPr>
        <w:t>This Agreement and any dispute or claim (including non-contractual disputes or claims) arising out of or in connection with it or its subject matter or formation shall be governed by and construed in accordance with the laws of the Republic of Ireland.</w:t>
      </w:r>
    </w:p>
    <w:p w:rsidRPr="000744DA" w:rsidR="00FA783F" w:rsidP="00FA783F" w:rsidRDefault="00FA783F" w14:paraId="7118AEAB" w14:textId="77777777">
      <w:pPr>
        <w:numPr>
          <w:ilvl w:val="1"/>
          <w:numId w:val="1"/>
        </w:numPr>
        <w:jc w:val="both"/>
        <w:rPr>
          <w:rFonts w:cs="Calibri"/>
          <w:lang w:val="en-GB"/>
        </w:rPr>
      </w:pPr>
      <w:r w:rsidRPr="000744DA">
        <w:rPr>
          <w:rFonts w:cs="Calibri"/>
          <w:lang w:val="en-GB"/>
        </w:rPr>
        <w:t xml:space="preserve">Both parties shall endeavour to mediate any differences in advance of either party issuing proceedings herein. </w:t>
      </w:r>
    </w:p>
    <w:p w:rsidRPr="000744DA" w:rsidR="00FA783F" w:rsidP="00FA783F" w:rsidRDefault="00FA783F" w14:paraId="6A05A809" w14:textId="77777777">
      <w:pPr>
        <w:jc w:val="both"/>
        <w:rPr>
          <w:rFonts w:cs="Calibri"/>
          <w:lang w:val="en-GB"/>
        </w:rPr>
      </w:pPr>
    </w:p>
    <w:p w:rsidRPr="000744DA" w:rsidR="00FA783F" w:rsidP="00FA783F" w:rsidRDefault="00AD5815" w14:paraId="3A77D4C7" w14:textId="77777777">
      <w:pPr>
        <w:jc w:val="both"/>
        <w:rPr>
          <w:rFonts w:cs="Calibri"/>
          <w:b/>
          <w:lang w:val="en-GB"/>
        </w:rPr>
      </w:pPr>
      <w:r>
        <w:rPr>
          <w:rFonts w:cs="Calibri"/>
          <w:b/>
          <w:noProof/>
          <w:lang w:val="en-GB"/>
        </w:rPr>
        <w:pict w14:anchorId="557A51D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left:0;text-align:left;margin-left:307.5pt;margin-top:4.1pt;width:128.9pt;height:64.45pt;z-index:-251656192" alt="Microsoft Office Signature Line..." wrapcoords="-84 0 -84 21262 21600 21262 21600 0 -84 0" type="#_x0000_t75">
            <v:imagedata o:title="" r:id="rId11"/>
            <o:lock v:ext="edit" grouping="t" rotation="t" cropping="t" verticies="t" text="t"/>
            <o:signatureline v:ext="edit" issignatureline="t" id="{C915AA78-3A58-4A3D-BE77-A87DE3D0DB09}" provid="{00000000-0000-0000-0000-000000000000}" signinginstructionsset="t"/>
            <w10:wrap type="through"/>
          </v:shape>
        </w:pict>
      </w:r>
      <w:r w:rsidRPr="000744DA" w:rsidR="00FA783F">
        <w:rPr>
          <w:rFonts w:cs="Calibri"/>
          <w:b/>
          <w:lang w:val="en-GB"/>
        </w:rPr>
        <w:t>Signed for and behalf of</w:t>
      </w:r>
    </w:p>
    <w:p w:rsidRPr="000744DA" w:rsidR="00FA783F" w:rsidP="00FA783F" w:rsidRDefault="000B5A78" w14:paraId="2E9DCFF7" w14:textId="2987A3D1">
      <w:pPr>
        <w:jc w:val="both"/>
        <w:rPr>
          <w:rFonts w:cs="Calibri"/>
          <w:b/>
          <w:lang w:val="en-GB"/>
        </w:rPr>
      </w:pPr>
      <w:r w:rsidRPr="000744DA">
        <w:rPr>
          <w:rFonts w:cs="Calibri"/>
          <w:b/>
          <w:lang w:val="en-GB"/>
        </w:rPr>
        <w:t>Technological University Dublin</w:t>
      </w:r>
    </w:p>
    <w:p w:rsidRPr="000744DA" w:rsidR="00FA783F" w:rsidP="00FA783F" w:rsidRDefault="00FA783F" w14:paraId="0D909AED" w14:textId="77777777">
      <w:pPr>
        <w:jc w:val="both"/>
        <w:rPr>
          <w:rFonts w:cs="Calibri"/>
          <w:b/>
          <w:lang w:val="en-GB"/>
        </w:rPr>
      </w:pPr>
      <w:r w:rsidRPr="000744DA">
        <w:rPr>
          <w:rFonts w:cs="Calibri"/>
          <w:b/>
          <w:lang w:val="en-GB"/>
        </w:rPr>
        <w:t>Name</w:t>
      </w:r>
    </w:p>
    <w:p w:rsidRPr="000744DA" w:rsidR="00FA783F" w:rsidP="00FA783F" w:rsidRDefault="00FA783F" w14:paraId="7810568A" w14:textId="77777777">
      <w:pPr>
        <w:jc w:val="both"/>
        <w:rPr>
          <w:rFonts w:cs="Calibri"/>
          <w:b/>
          <w:lang w:val="en-GB"/>
        </w:rPr>
      </w:pPr>
      <w:r w:rsidRPr="000744DA">
        <w:rPr>
          <w:rFonts w:cs="Calibri"/>
          <w:b/>
          <w:lang w:val="en-GB"/>
        </w:rPr>
        <w:t>Role</w:t>
      </w:r>
    </w:p>
    <w:p w:rsidRPr="000744DA" w:rsidR="00FA783F" w:rsidP="58A67320" w:rsidRDefault="00FA783F" w14:paraId="771D0141" w14:textId="661418B7">
      <w:pPr>
        <w:jc w:val="both"/>
        <w:rPr>
          <w:rFonts w:cs="Calibri"/>
          <w:b/>
          <w:bCs/>
          <w:lang w:val="en-GB"/>
        </w:rPr>
      </w:pPr>
      <w:r w:rsidRPr="58A67320">
        <w:rPr>
          <w:rFonts w:cs="Calibri"/>
          <w:b/>
          <w:bCs/>
          <w:lang w:val="en-GB"/>
        </w:rPr>
        <w:t xml:space="preserve">Dated        </w:t>
      </w:r>
    </w:p>
    <w:p w:rsidRPr="000744DA" w:rsidR="00FA783F" w:rsidP="00FA783F" w:rsidRDefault="00FA783F" w14:paraId="5A39BBE3" w14:textId="77777777">
      <w:pPr>
        <w:jc w:val="both"/>
        <w:rPr>
          <w:rFonts w:cs="Calibri"/>
          <w:b/>
          <w:lang w:val="en-GB"/>
        </w:rPr>
      </w:pPr>
    </w:p>
    <w:p w:rsidRPr="000744DA" w:rsidR="00FA783F" w:rsidP="00FA783F" w:rsidRDefault="00AD5815" w14:paraId="41C8F396" w14:textId="77777777">
      <w:pPr>
        <w:jc w:val="both"/>
        <w:rPr>
          <w:rFonts w:cs="Calibri"/>
          <w:b/>
          <w:lang w:val="en-GB"/>
        </w:rPr>
      </w:pPr>
      <w:r>
        <w:rPr>
          <w:noProof/>
        </w:rPr>
        <w:pict w14:anchorId="62A5CBB3">
          <v:shape id="_x0000_s1026" style="position:absolute;left:0;text-align:left;margin-left:306pt;margin-top:23.85pt;width:128.9pt;height:64.45pt;z-index:-251657216" alt="Microsoft Office Signature Line..." wrapcoords="-84 0 -84 21262 21600 21262 21600 0 -84 0" type="#_x0000_t75">
            <v:imagedata o:title="" r:id="rId11"/>
            <o:lock v:ext="edit" grouping="t" rotation="t" cropping="t" verticies="t" text="t"/>
            <o:signatureline v:ext="edit" issignatureline="t" id="{CDB24E43-669F-4770-8DD8-0C5A28696640}" provid="{00000000-0000-0000-0000-000000000000}" signinginstructionsset="t"/>
            <w10:wrap type="through"/>
          </v:shape>
        </w:pict>
      </w:r>
    </w:p>
    <w:p w:rsidRPr="000744DA" w:rsidR="00FA783F" w:rsidP="00FA783F" w:rsidRDefault="00FA783F" w14:paraId="11A72EA0" w14:textId="77777777">
      <w:pPr>
        <w:jc w:val="both"/>
        <w:rPr>
          <w:rFonts w:cs="Calibri"/>
          <w:b/>
          <w:lang w:val="en-GB"/>
        </w:rPr>
      </w:pPr>
      <w:r w:rsidRPr="5EEDB343">
        <w:rPr>
          <w:rFonts w:cs="Calibri"/>
          <w:b/>
          <w:bCs/>
          <w:lang w:val="en-GB"/>
        </w:rPr>
        <w:t>Signed for and behalf of</w:t>
      </w:r>
    </w:p>
    <w:p w:rsidR="379B24DC" w:rsidP="5EEDB343" w:rsidRDefault="379B24DC" w14:paraId="3460D14E" w14:textId="606D8213">
      <w:pPr>
        <w:jc w:val="both"/>
        <w:rPr>
          <w:b/>
          <w:bCs/>
          <w:lang w:val="en-GB"/>
        </w:rPr>
      </w:pPr>
      <w:r w:rsidRPr="5EEDB343">
        <w:rPr>
          <w:rFonts w:cs="Calibri"/>
          <w:b/>
          <w:bCs/>
          <w:lang w:val="en-GB"/>
        </w:rPr>
        <w:t>XX</w:t>
      </w:r>
    </w:p>
    <w:p w:rsidRPr="000744DA" w:rsidR="00FA783F" w:rsidP="00FA783F" w:rsidRDefault="000B5A78" w14:paraId="796E885D" w14:textId="0237BCE9">
      <w:pPr>
        <w:jc w:val="both"/>
        <w:rPr>
          <w:rFonts w:cs="Calibri"/>
          <w:b/>
          <w:lang w:val="en-GB"/>
        </w:rPr>
      </w:pPr>
      <w:r w:rsidRPr="000744DA">
        <w:rPr>
          <w:rFonts w:cs="Calibri"/>
          <w:b/>
          <w:lang w:val="en-GB"/>
        </w:rPr>
        <w:t>Name</w:t>
      </w:r>
    </w:p>
    <w:p w:rsidRPr="000744DA" w:rsidR="000B5A78" w:rsidP="00FA783F" w:rsidRDefault="000B5A78" w14:paraId="2F56E9F9" w14:textId="5153D561">
      <w:pPr>
        <w:jc w:val="both"/>
        <w:rPr>
          <w:rFonts w:cs="Calibri"/>
          <w:b/>
          <w:lang w:val="en-GB"/>
        </w:rPr>
      </w:pPr>
      <w:r w:rsidRPr="000744DA">
        <w:rPr>
          <w:rFonts w:cs="Calibri"/>
          <w:b/>
          <w:lang w:val="en-GB"/>
        </w:rPr>
        <w:t>Role</w:t>
      </w:r>
    </w:p>
    <w:p w:rsidRPr="000744DA" w:rsidR="00FA783F" w:rsidP="58A67320" w:rsidRDefault="00FA783F" w14:paraId="6C2B5E09" w14:textId="514DFF43">
      <w:pPr>
        <w:jc w:val="both"/>
        <w:rPr>
          <w:rFonts w:cs="Calibri"/>
          <w:b/>
          <w:bCs/>
          <w:lang w:val="en-GB"/>
        </w:rPr>
      </w:pPr>
      <w:r w:rsidRPr="58A67320">
        <w:rPr>
          <w:rFonts w:cs="Calibri"/>
          <w:b/>
          <w:bCs/>
          <w:lang w:val="en-GB"/>
        </w:rPr>
        <w:t xml:space="preserve">Dated        </w:t>
      </w:r>
    </w:p>
    <w:p w:rsidRPr="000744DA" w:rsidR="00FA783F" w:rsidP="00FA783F" w:rsidRDefault="00FA783F" w14:paraId="72A3D3EC" w14:textId="77777777">
      <w:pPr>
        <w:jc w:val="both"/>
        <w:rPr>
          <w:rFonts w:cs="Calibri"/>
          <w:b/>
          <w:lang w:val="en-GB"/>
        </w:rPr>
      </w:pPr>
    </w:p>
    <w:p w:rsidRPr="000744DA" w:rsidR="00FA783F" w:rsidP="00FA783F" w:rsidRDefault="00FA783F" w14:paraId="63445A83" w14:textId="77777777">
      <w:pPr>
        <w:rPr>
          <w:rFonts w:cs="Calibri"/>
          <w:b/>
          <w:lang w:val="en-GB"/>
        </w:rPr>
      </w:pPr>
      <w:r w:rsidRPr="000744DA">
        <w:rPr>
          <w:rFonts w:cs="Calibri"/>
          <w:b/>
          <w:lang w:val="en-GB"/>
        </w:rPr>
        <w:br w:type="page"/>
      </w:r>
      <w:r w:rsidRPr="000744DA">
        <w:rPr>
          <w:rFonts w:cs="Calibri"/>
          <w:b/>
          <w:lang w:val="en-GB"/>
        </w:rPr>
        <w:t>Schedule 1</w:t>
      </w:r>
    </w:p>
    <w:p w:rsidRPr="000744DA" w:rsidR="00FA783F" w:rsidP="00FA783F" w:rsidRDefault="00FA783F" w14:paraId="0D0B940D" w14:textId="77777777">
      <w:bookmarkStart w:name="_Toc2866369" w:id="6"/>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06"/>
        <w:gridCol w:w="4510"/>
      </w:tblGrid>
      <w:tr w:rsidRPr="000744DA" w:rsidR="000744DA" w:rsidTr="5EEDB343" w14:paraId="7AD6FACA" w14:textId="77777777">
        <w:tc>
          <w:tcPr>
            <w:tcW w:w="4621" w:type="dxa"/>
            <w:shd w:val="clear" w:color="auto" w:fill="auto"/>
          </w:tcPr>
          <w:p w:rsidRPr="000744DA" w:rsidR="00FA783F" w:rsidP="000B5A78" w:rsidRDefault="00FA783F" w14:paraId="3E033328" w14:textId="4BA0B4B8">
            <w:r w:rsidRPr="000744DA">
              <w:rPr>
                <w:highlight w:val="yellow"/>
              </w:rPr>
              <w:t xml:space="preserve">Primary Contact for </w:t>
            </w:r>
            <w:r w:rsidRPr="000744DA" w:rsidR="000B5A78">
              <w:rPr>
                <w:highlight w:val="yellow"/>
              </w:rPr>
              <w:t>TU Dublin</w:t>
            </w:r>
            <w:r w:rsidRPr="000744DA">
              <w:rPr>
                <w:highlight w:val="yellow"/>
              </w:rPr>
              <w:t>:</w:t>
            </w:r>
          </w:p>
        </w:tc>
        <w:tc>
          <w:tcPr>
            <w:tcW w:w="4621" w:type="dxa"/>
            <w:shd w:val="clear" w:color="auto" w:fill="auto"/>
          </w:tcPr>
          <w:p w:rsidRPr="000744DA" w:rsidR="00FA783F" w:rsidP="009C7BB1" w:rsidRDefault="3568D139" w14:paraId="0E27B00A" w14:textId="35A2608C">
            <w:r>
              <w:t>Data Protection Officer</w:t>
            </w:r>
          </w:p>
        </w:tc>
      </w:tr>
      <w:tr w:rsidRPr="000744DA" w:rsidR="000744DA" w:rsidTr="5EEDB343" w14:paraId="78B1F731" w14:textId="77777777">
        <w:tc>
          <w:tcPr>
            <w:tcW w:w="4621" w:type="dxa"/>
            <w:shd w:val="clear" w:color="auto" w:fill="auto"/>
          </w:tcPr>
          <w:p w:rsidRPr="000744DA" w:rsidR="00FA783F" w:rsidP="003E0CB8" w:rsidRDefault="003E0CB8" w14:paraId="10382846" w14:textId="5F3B716F">
            <w:r>
              <w:t xml:space="preserve">Primary Contact for </w:t>
            </w:r>
            <w:r w:rsidR="0632351D">
              <w:t>XX</w:t>
            </w:r>
            <w:r w:rsidR="00FA783F">
              <w:t xml:space="preserve">: </w:t>
            </w:r>
          </w:p>
        </w:tc>
        <w:tc>
          <w:tcPr>
            <w:tcW w:w="4621" w:type="dxa"/>
            <w:shd w:val="clear" w:color="auto" w:fill="auto"/>
          </w:tcPr>
          <w:p w:rsidRPr="000744DA" w:rsidR="00FA783F" w:rsidP="009C7BB1" w:rsidRDefault="00FA783F" w14:paraId="3C2002C4" w14:textId="03420270"/>
        </w:tc>
      </w:tr>
      <w:tr w:rsidRPr="000744DA" w:rsidR="000744DA" w:rsidTr="5EEDB343" w14:paraId="3E89DCFE" w14:textId="77777777">
        <w:tc>
          <w:tcPr>
            <w:tcW w:w="4621" w:type="dxa"/>
            <w:shd w:val="clear" w:color="auto" w:fill="auto"/>
          </w:tcPr>
          <w:p w:rsidRPr="000744DA" w:rsidR="00FA783F" w:rsidP="003E0CB8" w:rsidRDefault="7A60D9BE" w14:paraId="020F16F4" w14:textId="2805871E">
            <w:r>
              <w:t>XX</w:t>
            </w:r>
            <w:r w:rsidR="00FA783F">
              <w:t xml:space="preserve"> Data Protection Officer Contact Details:</w:t>
            </w:r>
          </w:p>
        </w:tc>
        <w:tc>
          <w:tcPr>
            <w:tcW w:w="4621" w:type="dxa"/>
            <w:shd w:val="clear" w:color="auto" w:fill="auto"/>
          </w:tcPr>
          <w:p w:rsidRPr="000744DA" w:rsidR="00FA783F" w:rsidP="009C7BB1" w:rsidRDefault="00FA783F" w14:paraId="6B00DB7B" w14:textId="0E6A51E1"/>
        </w:tc>
      </w:tr>
      <w:tr w:rsidRPr="000744DA" w:rsidR="000744DA" w:rsidTr="5EEDB343" w14:paraId="6CC1F8FB" w14:textId="77777777">
        <w:tc>
          <w:tcPr>
            <w:tcW w:w="4621" w:type="dxa"/>
            <w:shd w:val="clear" w:color="auto" w:fill="auto"/>
          </w:tcPr>
          <w:p w:rsidRPr="000744DA" w:rsidR="00FA783F" w:rsidP="009C7BB1" w:rsidRDefault="00FA783F" w14:paraId="636221F0" w14:textId="77777777">
            <w:r w:rsidRPr="000744DA">
              <w:t>Purpose of data sharing:</w:t>
            </w:r>
          </w:p>
        </w:tc>
        <w:tc>
          <w:tcPr>
            <w:tcW w:w="4621" w:type="dxa"/>
            <w:shd w:val="clear" w:color="auto" w:fill="auto"/>
          </w:tcPr>
          <w:p w:rsidRPr="000744DA" w:rsidR="00FA783F" w:rsidP="009C7BB1" w:rsidRDefault="00FA783F" w14:paraId="6D2F95AB" w14:textId="361BEAA0">
            <w:r w:rsidRPr="000744DA">
              <w:t xml:space="preserve">To administer the   </w:t>
            </w:r>
          </w:p>
        </w:tc>
      </w:tr>
      <w:tr w:rsidRPr="000744DA" w:rsidR="000744DA" w:rsidTr="5EEDB343" w14:paraId="58263348" w14:textId="77777777">
        <w:tc>
          <w:tcPr>
            <w:tcW w:w="4621" w:type="dxa"/>
            <w:shd w:val="clear" w:color="auto" w:fill="auto"/>
          </w:tcPr>
          <w:p w:rsidRPr="000744DA" w:rsidR="00FA783F" w:rsidP="009C7BB1" w:rsidRDefault="00FA783F" w14:paraId="091B5A25" w14:textId="77777777">
            <w:r w:rsidRPr="000744DA">
              <w:t>Legal basis:</w:t>
            </w:r>
          </w:p>
        </w:tc>
        <w:tc>
          <w:tcPr>
            <w:tcW w:w="4621" w:type="dxa"/>
            <w:shd w:val="clear" w:color="auto" w:fill="auto"/>
          </w:tcPr>
          <w:p w:rsidRPr="000744DA" w:rsidR="00FA783F" w:rsidP="009C7BB1" w:rsidRDefault="00FA783F" w14:paraId="261170EE" w14:textId="370C95C7">
            <w:r>
              <w:t>Article 6 (1) (</w:t>
            </w:r>
            <w:r w:rsidR="7DAEB48D">
              <w:t>b)</w:t>
            </w:r>
            <w:r>
              <w:t>, GDPR and Article 9 (2) (</w:t>
            </w:r>
            <w:r w:rsidR="1C88BC44">
              <w:t>d)</w:t>
            </w:r>
            <w:r>
              <w:t xml:space="preserve"> GDPR</w:t>
            </w:r>
            <w:r w:rsidR="01E0758E">
              <w:t xml:space="preserve"> </w:t>
            </w:r>
          </w:p>
        </w:tc>
      </w:tr>
      <w:tr w:rsidRPr="000744DA" w:rsidR="000744DA" w:rsidTr="5EEDB343" w14:paraId="40CDA295" w14:textId="77777777">
        <w:tc>
          <w:tcPr>
            <w:tcW w:w="4621" w:type="dxa"/>
            <w:shd w:val="clear" w:color="auto" w:fill="auto"/>
          </w:tcPr>
          <w:p w:rsidRPr="000744DA" w:rsidR="00FA783F" w:rsidP="009C7BB1" w:rsidRDefault="00FA783F" w14:paraId="144A9D76" w14:textId="77777777">
            <w:r w:rsidRPr="000744DA">
              <w:t>Categories of data subject:</w:t>
            </w:r>
          </w:p>
        </w:tc>
        <w:tc>
          <w:tcPr>
            <w:tcW w:w="4621" w:type="dxa"/>
            <w:shd w:val="clear" w:color="auto" w:fill="auto"/>
          </w:tcPr>
          <w:p w:rsidRPr="000744DA" w:rsidR="00FA783F" w:rsidP="009C7BB1" w:rsidRDefault="00FA783F" w14:paraId="071F13F4" w14:textId="5113F332"/>
        </w:tc>
      </w:tr>
      <w:tr w:rsidRPr="000744DA" w:rsidR="000744DA" w:rsidTr="5EEDB343" w14:paraId="69C5A68D" w14:textId="77777777">
        <w:tc>
          <w:tcPr>
            <w:tcW w:w="4621" w:type="dxa"/>
            <w:shd w:val="clear" w:color="auto" w:fill="auto"/>
          </w:tcPr>
          <w:p w:rsidRPr="000744DA" w:rsidR="00FA783F" w:rsidP="009C7BB1" w:rsidRDefault="00FA783F" w14:paraId="207A3E8D" w14:textId="77777777">
            <w:r w:rsidRPr="000744DA">
              <w:t>Categories of data being shared:</w:t>
            </w:r>
          </w:p>
        </w:tc>
        <w:tc>
          <w:tcPr>
            <w:tcW w:w="4621" w:type="dxa"/>
            <w:shd w:val="clear" w:color="auto" w:fill="auto"/>
          </w:tcPr>
          <w:p w:rsidRPr="000744DA" w:rsidR="00FA783F" w:rsidP="009C7BB1" w:rsidRDefault="00FA783F" w14:paraId="621E9815" w14:textId="2F4C5523"/>
        </w:tc>
      </w:tr>
      <w:tr w:rsidRPr="000744DA" w:rsidR="000744DA" w:rsidTr="5EEDB343" w14:paraId="23ABDB20" w14:textId="77777777">
        <w:tc>
          <w:tcPr>
            <w:tcW w:w="4621" w:type="dxa"/>
            <w:shd w:val="clear" w:color="auto" w:fill="auto"/>
          </w:tcPr>
          <w:p w:rsidRPr="000744DA" w:rsidR="00FA783F" w:rsidP="009C7BB1" w:rsidRDefault="00FA783F" w14:paraId="3BD47550" w14:textId="77777777">
            <w:pPr>
              <w:rPr>
                <w:rFonts w:cs="Arial"/>
                <w:szCs w:val="21"/>
              </w:rPr>
            </w:pPr>
            <w:r w:rsidRPr="000744DA">
              <w:t xml:space="preserve">Is the data being shared outside EEA? </w:t>
            </w:r>
            <w:r w:rsidRPr="000744DA">
              <w:rPr>
                <w:rFonts w:cs="Arial"/>
                <w:szCs w:val="21"/>
              </w:rPr>
              <w:t>If yes, what safeguards are in place to protect the data?</w:t>
            </w:r>
          </w:p>
          <w:p w:rsidRPr="000744DA" w:rsidR="00FA783F" w:rsidP="009C7BB1" w:rsidRDefault="00FA783F" w14:paraId="60061E4C" w14:textId="77777777"/>
        </w:tc>
        <w:tc>
          <w:tcPr>
            <w:tcW w:w="4621" w:type="dxa"/>
            <w:shd w:val="clear" w:color="auto" w:fill="auto"/>
          </w:tcPr>
          <w:p w:rsidRPr="000744DA" w:rsidR="00FA783F" w:rsidP="009C7BB1" w:rsidRDefault="00FA783F" w14:paraId="315B3DF0" w14:textId="77777777">
            <w:r w:rsidRPr="000744DA">
              <w:t xml:space="preserve">Data will not be shared outside EEA. </w:t>
            </w:r>
          </w:p>
        </w:tc>
      </w:tr>
      <w:tr w:rsidRPr="000744DA" w:rsidR="000744DA" w:rsidTr="5EEDB343" w14:paraId="3EB85DAE" w14:textId="77777777">
        <w:tc>
          <w:tcPr>
            <w:tcW w:w="4621" w:type="dxa"/>
            <w:shd w:val="clear" w:color="auto" w:fill="auto"/>
          </w:tcPr>
          <w:p w:rsidRPr="000744DA" w:rsidR="00FA783F" w:rsidP="009C7BB1" w:rsidRDefault="00FA783F" w14:paraId="6F560A82" w14:textId="77777777">
            <w:r w:rsidRPr="000744DA">
              <w:t>Retention:</w:t>
            </w:r>
          </w:p>
        </w:tc>
        <w:tc>
          <w:tcPr>
            <w:tcW w:w="4621" w:type="dxa"/>
            <w:shd w:val="clear" w:color="auto" w:fill="auto"/>
          </w:tcPr>
          <w:p w:rsidRPr="000744DA" w:rsidR="00FA783F" w:rsidP="784F854D" w:rsidRDefault="00FA783F" w14:paraId="5378A00E" w14:textId="07D09805">
            <w:pPr>
              <w:rPr>
                <w:rFonts w:cs="Calibri"/>
                <w:lang w:val="en-GB"/>
              </w:rPr>
            </w:pPr>
            <w:r w:rsidRPr="000744DA">
              <w:t>Data will be retained no longer than is necessary to meet the purpose of the processing. It will then be anonymised and retained for statistical purposes as per Article 89 GDPR</w:t>
            </w:r>
            <w:r w:rsidRPr="000744DA" w:rsidR="7B869B2E">
              <w:t>.</w:t>
            </w:r>
          </w:p>
          <w:p w:rsidRPr="000744DA" w:rsidR="00FA783F" w:rsidP="784F854D" w:rsidRDefault="6AB358A0" w14:paraId="66446846" w14:textId="149D33E0">
            <w:pPr>
              <w:rPr>
                <w:rFonts w:cs="Calibri"/>
                <w:lang w:val="en-GB"/>
              </w:rPr>
            </w:pPr>
            <w:r w:rsidRPr="5EEDB343">
              <w:rPr>
                <w:rFonts w:cs="Calibri"/>
                <w:lang w:val="en-GB"/>
              </w:rPr>
              <w:t xml:space="preserve">All information shared with </w:t>
            </w:r>
            <w:r w:rsidRPr="5EEDB343" w:rsidR="1F8E4BDE">
              <w:rPr>
                <w:rFonts w:cs="Calibri"/>
                <w:lang w:val="en-GB"/>
              </w:rPr>
              <w:t>XX</w:t>
            </w:r>
            <w:r w:rsidRPr="5EEDB343">
              <w:rPr>
                <w:rFonts w:cs="Calibri"/>
                <w:lang w:val="en-GB"/>
              </w:rPr>
              <w:t xml:space="preserve"> will be retained in accordance with </w:t>
            </w:r>
            <w:r w:rsidRPr="5EEDB343" w:rsidR="5EC17EBB">
              <w:rPr>
                <w:rFonts w:cs="Calibri"/>
                <w:lang w:val="en-GB"/>
              </w:rPr>
              <w:t>XX</w:t>
            </w:r>
            <w:r w:rsidRPr="5EEDB343">
              <w:rPr>
                <w:rFonts w:cs="Calibri"/>
                <w:lang w:val="en-GB"/>
              </w:rPr>
              <w:t xml:space="preserve"> Data Retention Schedule, which may be updated periodically and notified to the University as appropriate.</w:t>
            </w:r>
          </w:p>
          <w:p w:rsidRPr="000744DA" w:rsidR="00FA783F" w:rsidP="784F854D" w:rsidRDefault="63B080F1" w14:paraId="5B892951" w14:textId="3F831653">
            <w:pPr>
              <w:rPr>
                <w:lang w:val="en-GB"/>
              </w:rPr>
            </w:pPr>
            <w:r w:rsidRPr="5EEDB343">
              <w:rPr>
                <w:rFonts w:cs="Calibri"/>
                <w:lang w:val="en-GB"/>
              </w:rPr>
              <w:t xml:space="preserve">Data destroyed by </w:t>
            </w:r>
            <w:r w:rsidRPr="5EEDB343" w:rsidR="1DE375F5">
              <w:rPr>
                <w:rFonts w:cs="Calibri"/>
                <w:lang w:val="en-GB"/>
              </w:rPr>
              <w:t>XX</w:t>
            </w:r>
            <w:r w:rsidRPr="5EEDB343">
              <w:rPr>
                <w:rFonts w:cs="Calibri"/>
                <w:lang w:val="en-GB"/>
              </w:rPr>
              <w:t xml:space="preserve"> at the end of the retention period shall be done in a secure and verifiable manner.</w:t>
            </w:r>
          </w:p>
        </w:tc>
      </w:tr>
      <w:bookmarkEnd w:id="6"/>
    </w:tbl>
    <w:p w:rsidRPr="000744DA" w:rsidR="00FA783F" w:rsidP="00FA783F" w:rsidRDefault="00FA783F" w14:paraId="44EAFD9C" w14:textId="77777777">
      <w:pPr>
        <w:rPr>
          <w:rFonts w:cs="Calibri"/>
          <w:lang w:val="en-GB"/>
        </w:rPr>
      </w:pPr>
    </w:p>
    <w:p w:rsidRPr="000744DA" w:rsidR="00FA783F" w:rsidP="00FA783F" w:rsidRDefault="00FA783F" w14:paraId="4B94D5A5" w14:textId="77777777">
      <w:pPr>
        <w:rPr>
          <w:rFonts w:cs="Calibri"/>
          <w:lang w:val="en-GB"/>
        </w:rPr>
      </w:pPr>
    </w:p>
    <w:p w:rsidRPr="000744DA" w:rsidR="00FA783F" w:rsidP="784F854D" w:rsidRDefault="00FA783F" w14:paraId="62486C05" w14:textId="321A8584">
      <w:pPr>
        <w:rPr>
          <w:lang w:val="en-GB"/>
        </w:rPr>
      </w:pPr>
    </w:p>
    <w:sectPr w:rsidRPr="000744DA" w:rsidR="00FA783F" w:rsidSect="0068135C">
      <w:headerReference w:type="even" r:id="rId12"/>
      <w:headerReference w:type="default" r:id="rId13"/>
      <w:footerReference w:type="even" r:id="rId14"/>
      <w:footerReference w:type="default" r:id="rId15"/>
      <w:headerReference w:type="first" r:id="rId16"/>
      <w:footerReference w:type="first" r:id="rId17"/>
      <w:pgSz w:w="11906" w:h="16838" w:orient="portrait"/>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783F" w:rsidP="00FA783F" w:rsidRDefault="00FA783F" w14:paraId="0FB78278" w14:textId="77777777">
      <w:pPr>
        <w:spacing w:after="0" w:line="240" w:lineRule="auto"/>
      </w:pPr>
      <w:r>
        <w:separator/>
      </w:r>
    </w:p>
  </w:endnote>
  <w:endnote w:type="continuationSeparator" w:id="0">
    <w:p w:rsidR="00FA783F" w:rsidP="00FA783F" w:rsidRDefault="00FA783F" w14:paraId="1FC399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AD5815" w:rsidRDefault="00AD5815" w14:paraId="23859D2C" w14:textId="1F98787A">
    <w:pPr>
      <w:pStyle w:val="Footer"/>
    </w:pPr>
    <w:r>
      <w:rPr>
        <w:noProof/>
      </w:rPr>
      <mc:AlternateContent>
        <mc:Choice Requires="wps">
          <w:drawing>
            <wp:anchor distT="0" distB="0" distL="0" distR="0" simplePos="0" relativeHeight="251659264" behindDoc="0" locked="0" layoutInCell="1" allowOverlap="1" wp14:anchorId="3752B597" wp14:editId="062877AC">
              <wp:simplePos x="635" y="635"/>
              <wp:positionH relativeFrom="leftMargin">
                <wp:align>left</wp:align>
              </wp:positionH>
              <wp:positionV relativeFrom="paragraph">
                <wp:posOffset>635</wp:posOffset>
              </wp:positionV>
              <wp:extent cx="443865" cy="443865"/>
              <wp:effectExtent l="0" t="0" r="15875" b="18415"/>
              <wp:wrapSquare wrapText="bothSides"/>
              <wp:docPr id="2" name="Text Box 2" descr=" TU Dublin General Circulation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AD5815" w:rsidR="00AD5815" w:rsidRDefault="00AD5815" w14:paraId="1ED6CA09" w14:textId="311177AA">
                          <w:pPr>
                            <w:rPr>
                              <w:rFonts w:cs="Calibri"/>
                              <w:noProof/>
                              <w:color w:val="000000"/>
                              <w:sz w:val="20"/>
                              <w:szCs w:val="20"/>
                            </w:rPr>
                          </w:pPr>
                          <w:r w:rsidRPr="00AD5815">
                            <w:rPr>
                              <w:rFonts w:cs="Calibri"/>
                              <w:noProof/>
                              <w:color w:val="000000"/>
                              <w:sz w:val="20"/>
                              <w:szCs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w14:anchorId="3B8D82A2">
            <v:shapetype id="_x0000_t202" coordsize="21600,21600" o:spt="202" path="m,l,21600r21600,l21600,xe" w14:anchorId="3752B597">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 TU Dublin General Circulation Only"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v:fill o:detectmouseclick="t"/>
              <v:textbox style="mso-fit-shape-to-text:t" inset="5pt,0,0,0">
                <w:txbxContent>
                  <w:p w:rsidRPr="00AD5815" w:rsidR="00AD5815" w:rsidRDefault="00AD5815" w14:paraId="20687512" w14:textId="311177AA">
                    <w:pPr>
                      <w:rPr>
                        <w:rFonts w:cs="Calibri"/>
                        <w:noProof/>
                        <w:color w:val="000000"/>
                        <w:sz w:val="20"/>
                        <w:szCs w:val="20"/>
                      </w:rPr>
                    </w:pPr>
                    <w:r w:rsidRPr="00AD5815">
                      <w:rPr>
                        <w:rFonts w:cs="Calibri"/>
                        <w:noProof/>
                        <w:color w:val="000000"/>
                        <w:sz w:val="20"/>
                        <w:szCs w:val="20"/>
                      </w:rPr>
                      <w:t xml:space="preserve"> TU Dublin General Circulation Only</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AD5815" w:rsidRDefault="00AD5815" w14:paraId="7D0242C8" w14:textId="2DEFE576">
    <w:pPr>
      <w:pStyle w:val="Footer"/>
    </w:pPr>
    <w:r>
      <w:rPr>
        <w:noProof/>
      </w:rPr>
      <mc:AlternateContent>
        <mc:Choice Requires="wps">
          <w:drawing>
            <wp:anchor distT="0" distB="0" distL="0" distR="0" simplePos="0" relativeHeight="251660288" behindDoc="0" locked="0" layoutInCell="1" allowOverlap="1" wp14:anchorId="6742AE8A" wp14:editId="0103DC84">
              <wp:simplePos x="635" y="635"/>
              <wp:positionH relativeFrom="leftMargin">
                <wp:align>left</wp:align>
              </wp:positionH>
              <wp:positionV relativeFrom="paragraph">
                <wp:posOffset>635</wp:posOffset>
              </wp:positionV>
              <wp:extent cx="443865" cy="443865"/>
              <wp:effectExtent l="0" t="0" r="15875" b="18415"/>
              <wp:wrapSquare wrapText="bothSides"/>
              <wp:docPr id="3" name="Text Box 3" descr=" TU Dublin General Circulation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AD5815" w:rsidR="00AD5815" w:rsidRDefault="00AD5815" w14:paraId="1C5495ED" w14:textId="7408647C">
                          <w:pPr>
                            <w:rPr>
                              <w:rFonts w:cs="Calibri"/>
                              <w:noProof/>
                              <w:color w:val="000000"/>
                              <w:sz w:val="20"/>
                              <w:szCs w:val="20"/>
                            </w:rPr>
                          </w:pPr>
                          <w:r w:rsidRPr="00AD5815">
                            <w:rPr>
                              <w:rFonts w:cs="Calibri"/>
                              <w:noProof/>
                              <w:color w:val="000000"/>
                              <w:sz w:val="20"/>
                              <w:szCs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w14:anchorId="4B4C98C7">
            <v:shapetype id="_x0000_t202" coordsize="21600,21600" o:spt="202" path="m,l,21600r21600,l21600,xe" w14:anchorId="6742AE8A">
              <v:stroke joinstyle="miter"/>
              <v:path gradientshapeok="t" o:connecttype="rect"/>
            </v:shapetype>
            <v:shape id="Text Box 3"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alt=" TU Dublin General Circulation Only"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v:fill o:detectmouseclick="t"/>
              <v:textbox style="mso-fit-shape-to-text:t" inset="5pt,0,0,0">
                <w:txbxContent>
                  <w:p w:rsidRPr="00AD5815" w:rsidR="00AD5815" w:rsidRDefault="00AD5815" w14:paraId="36D04351" w14:textId="7408647C">
                    <w:pPr>
                      <w:rPr>
                        <w:rFonts w:cs="Calibri"/>
                        <w:noProof/>
                        <w:color w:val="000000"/>
                        <w:sz w:val="20"/>
                        <w:szCs w:val="20"/>
                      </w:rPr>
                    </w:pPr>
                    <w:r w:rsidRPr="00AD5815">
                      <w:rPr>
                        <w:rFonts w:cs="Calibri"/>
                        <w:noProof/>
                        <w:color w:val="000000"/>
                        <w:sz w:val="20"/>
                        <w:szCs w:val="20"/>
                      </w:rPr>
                      <w:t xml:space="preserve"> TU Dublin General Circulation Only</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AD5815" w:rsidRDefault="00AD5815" w14:paraId="1F42D89D" w14:textId="56D741AE">
    <w:pPr>
      <w:pStyle w:val="Footer"/>
    </w:pPr>
    <w:r>
      <w:rPr>
        <w:noProof/>
      </w:rPr>
      <mc:AlternateContent>
        <mc:Choice Requires="wps">
          <w:drawing>
            <wp:anchor distT="0" distB="0" distL="0" distR="0" simplePos="0" relativeHeight="251658240" behindDoc="0" locked="0" layoutInCell="1" allowOverlap="1" wp14:anchorId="1AFF9AB0" wp14:editId="6FD45444">
              <wp:simplePos x="635" y="635"/>
              <wp:positionH relativeFrom="leftMargin">
                <wp:align>left</wp:align>
              </wp:positionH>
              <wp:positionV relativeFrom="paragraph">
                <wp:posOffset>635</wp:posOffset>
              </wp:positionV>
              <wp:extent cx="443865" cy="443865"/>
              <wp:effectExtent l="0" t="0" r="15875" b="18415"/>
              <wp:wrapSquare wrapText="bothSides"/>
              <wp:docPr id="1" name="Text Box 1" descr=" TU Dublin General Circulation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AD5815" w:rsidR="00AD5815" w:rsidRDefault="00AD5815" w14:paraId="41E9A2DE" w14:textId="3B1A023B">
                          <w:pPr>
                            <w:rPr>
                              <w:rFonts w:cs="Calibri"/>
                              <w:noProof/>
                              <w:color w:val="000000"/>
                              <w:sz w:val="20"/>
                              <w:szCs w:val="20"/>
                            </w:rPr>
                          </w:pPr>
                          <w:r w:rsidRPr="00AD5815">
                            <w:rPr>
                              <w:rFonts w:cs="Calibri"/>
                              <w:noProof/>
                              <w:color w:val="000000"/>
                              <w:sz w:val="20"/>
                              <w:szCs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w14:anchorId="367CDE22">
            <v:shapetype id="_x0000_t202" coordsize="21600,21600" o:spt="202" path="m,l,21600r21600,l21600,xe" w14:anchorId="1AFF9AB0">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 TU Dublin General Circulation Only"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v:fill o:detectmouseclick="t"/>
              <v:textbox style="mso-fit-shape-to-text:t" inset="5pt,0,0,0">
                <w:txbxContent>
                  <w:p w:rsidRPr="00AD5815" w:rsidR="00AD5815" w:rsidRDefault="00AD5815" w14:paraId="7072809A" w14:textId="3B1A023B">
                    <w:pPr>
                      <w:rPr>
                        <w:rFonts w:cs="Calibri"/>
                        <w:noProof/>
                        <w:color w:val="000000"/>
                        <w:sz w:val="20"/>
                        <w:szCs w:val="20"/>
                      </w:rPr>
                    </w:pPr>
                    <w:r w:rsidRPr="00AD5815">
                      <w:rPr>
                        <w:rFonts w:cs="Calibri"/>
                        <w:noProof/>
                        <w:color w:val="000000"/>
                        <w:sz w:val="20"/>
                        <w:szCs w:val="20"/>
                      </w:rPr>
                      <w:t xml:space="preserve"> TU Dublin General Circulation Only</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783F" w:rsidP="00FA783F" w:rsidRDefault="00FA783F" w14:paraId="0562CB0E" w14:textId="77777777">
      <w:pPr>
        <w:spacing w:after="0" w:line="240" w:lineRule="auto"/>
      </w:pPr>
      <w:r>
        <w:separator/>
      </w:r>
    </w:p>
  </w:footnote>
  <w:footnote w:type="continuationSeparator" w:id="0">
    <w:p w:rsidR="00FA783F" w:rsidP="00FA783F" w:rsidRDefault="00FA783F" w14:paraId="34CE0A41" w14:textId="77777777">
      <w:pPr>
        <w:spacing w:after="0" w:line="240" w:lineRule="auto"/>
      </w:pPr>
      <w:r>
        <w:continuationSeparator/>
      </w:r>
    </w:p>
  </w:footnote>
  <w:footnote w:id="1">
    <w:p w:rsidRPr="00976D8E" w:rsidR="00CF520D" w:rsidRDefault="00CF520D" w14:paraId="48AE8EF6" w14:textId="2866443C">
      <w:pPr>
        <w:pStyle w:val="FootnoteText"/>
        <w:rPr>
          <w:lang w:val="en-US"/>
        </w:rPr>
      </w:pPr>
      <w:r>
        <w:rPr>
          <w:rStyle w:val="FootnoteReference"/>
        </w:rPr>
        <w:footnoteRef/>
      </w:r>
      <w:r>
        <w:t xml:space="preserve"> </w:t>
      </w:r>
      <w:r w:rsidR="00976D8E">
        <w:rPr>
          <w:lang w:val="en-US"/>
        </w:rPr>
        <w:t>GDPR Art. 6.1</w:t>
      </w:r>
      <w:r w:rsidR="00C9204B">
        <w:rPr>
          <w:lang w:val="en-US"/>
        </w:rPr>
        <w:t xml:space="preserve"> (b)</w:t>
      </w:r>
    </w:p>
  </w:footnote>
  <w:footnote w:id="2">
    <w:p w:rsidRPr="00392315" w:rsidR="00392315" w:rsidRDefault="00392315" w14:paraId="6710CDE6" w14:textId="4766537C">
      <w:pPr>
        <w:pStyle w:val="FootnoteText"/>
        <w:rPr>
          <w:lang w:val="en-US"/>
        </w:rPr>
      </w:pPr>
      <w:r>
        <w:rPr>
          <w:rStyle w:val="FootnoteReference"/>
        </w:rPr>
        <w:footnoteRef/>
      </w:r>
      <w:r>
        <w:t xml:space="preserve"> </w:t>
      </w:r>
      <w:r w:rsidR="00E04AAE">
        <w:rPr>
          <w:lang w:val="en-US"/>
        </w:rPr>
        <w:t>GDPR Art. 9.2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815" w:rsidRDefault="00AD5815" w14:paraId="218DE0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815" w:rsidRDefault="00AD5815" w14:paraId="0A19B79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815" w:rsidRDefault="00AD5815" w14:paraId="69D1D6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CB7"/>
    <w:multiLevelType w:val="multilevel"/>
    <w:tmpl w:val="912498E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0337C7"/>
    <w:multiLevelType w:val="multilevel"/>
    <w:tmpl w:val="2E3AE8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A913159"/>
    <w:multiLevelType w:val="multilevel"/>
    <w:tmpl w:val="A1967E7C"/>
    <w:lvl w:ilvl="0">
      <w:start w:val="10"/>
      <w:numFmt w:val="decimal"/>
      <w:lvlText w:val="%1"/>
      <w:lvlJc w:val="left"/>
      <w:pPr>
        <w:ind w:left="375" w:hanging="375"/>
      </w:pPr>
      <w:rPr>
        <w:rFonts w:hint="default"/>
        <w:b w:val="0"/>
      </w:rPr>
    </w:lvl>
    <w:lvl w:ilvl="1">
      <w:start w:val="1"/>
      <w:numFmt w:val="decimal"/>
      <w:lvlText w:val="%1.%2"/>
      <w:lvlJc w:val="left"/>
      <w:pPr>
        <w:ind w:left="800"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5BA45E4E"/>
    <w:multiLevelType w:val="multilevel"/>
    <w:tmpl w:val="3960AB18"/>
    <w:lvl w:ilvl="0">
      <w:start w:val="12"/>
      <w:numFmt w:val="decimal"/>
      <w:lvlText w:val="%1"/>
      <w:lvlJc w:val="left"/>
      <w:pPr>
        <w:ind w:left="390" w:hanging="390"/>
      </w:pPr>
      <w:rPr>
        <w:rFonts w:hint="default"/>
      </w:rPr>
    </w:lvl>
    <w:lvl w:ilvl="1">
      <w:start w:val="1"/>
      <w:numFmt w:val="decimal"/>
      <w:lvlText w:val="%1.%2"/>
      <w:lvlJc w:val="left"/>
      <w:pPr>
        <w:ind w:left="815"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56014546">
    <w:abstractNumId w:val="0"/>
  </w:num>
  <w:num w:numId="2" w16cid:durableId="1922905625">
    <w:abstractNumId w:val="1"/>
  </w:num>
  <w:num w:numId="3" w16cid:durableId="1321883022">
    <w:abstractNumId w:val="2"/>
  </w:num>
  <w:num w:numId="4" w16cid:durableId="46936910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3F"/>
    <w:rsid w:val="00026ED8"/>
    <w:rsid w:val="0007134C"/>
    <w:rsid w:val="000744DA"/>
    <w:rsid w:val="000B5A78"/>
    <w:rsid w:val="002F68D8"/>
    <w:rsid w:val="00301898"/>
    <w:rsid w:val="00392315"/>
    <w:rsid w:val="003E0CB8"/>
    <w:rsid w:val="005511AE"/>
    <w:rsid w:val="00976D8E"/>
    <w:rsid w:val="009E769B"/>
    <w:rsid w:val="00A00AEB"/>
    <w:rsid w:val="00AAAC73"/>
    <w:rsid w:val="00AD5815"/>
    <w:rsid w:val="00C9204B"/>
    <w:rsid w:val="00CF520D"/>
    <w:rsid w:val="00DAE333"/>
    <w:rsid w:val="00E04AAE"/>
    <w:rsid w:val="00FA783F"/>
    <w:rsid w:val="00FC4D8A"/>
    <w:rsid w:val="01E0758E"/>
    <w:rsid w:val="02C1F40B"/>
    <w:rsid w:val="02DA1547"/>
    <w:rsid w:val="0485FDAC"/>
    <w:rsid w:val="04AAA8E1"/>
    <w:rsid w:val="0632351D"/>
    <w:rsid w:val="07B4FEC2"/>
    <w:rsid w:val="07FD5358"/>
    <w:rsid w:val="0A8DEF96"/>
    <w:rsid w:val="0B489371"/>
    <w:rsid w:val="0B621790"/>
    <w:rsid w:val="0BACB0EB"/>
    <w:rsid w:val="0CE9DF00"/>
    <w:rsid w:val="0D2555D8"/>
    <w:rsid w:val="0DA2C9AD"/>
    <w:rsid w:val="0ED8B9F9"/>
    <w:rsid w:val="0FF03015"/>
    <w:rsid w:val="10700B9B"/>
    <w:rsid w:val="11580683"/>
    <w:rsid w:val="118C0076"/>
    <w:rsid w:val="11A7EFEC"/>
    <w:rsid w:val="124A0B20"/>
    <w:rsid w:val="14000B78"/>
    <w:rsid w:val="143814E4"/>
    <w:rsid w:val="15076937"/>
    <w:rsid w:val="155EA4A4"/>
    <w:rsid w:val="159098F7"/>
    <w:rsid w:val="16A77C97"/>
    <w:rsid w:val="1827723B"/>
    <w:rsid w:val="19C3429C"/>
    <w:rsid w:val="19DAD2EA"/>
    <w:rsid w:val="19E25E20"/>
    <w:rsid w:val="1AADC078"/>
    <w:rsid w:val="1AC77DF3"/>
    <w:rsid w:val="1B98E19F"/>
    <w:rsid w:val="1B9B8828"/>
    <w:rsid w:val="1BDD5DE4"/>
    <w:rsid w:val="1C0F0DF1"/>
    <w:rsid w:val="1C35DFDF"/>
    <w:rsid w:val="1C88BC44"/>
    <w:rsid w:val="1C89E0D9"/>
    <w:rsid w:val="1DE375F5"/>
    <w:rsid w:val="1E22B802"/>
    <w:rsid w:val="1EA3C0B1"/>
    <w:rsid w:val="1EDE3E57"/>
    <w:rsid w:val="1EDEFD93"/>
    <w:rsid w:val="1F204274"/>
    <w:rsid w:val="1F86D92B"/>
    <w:rsid w:val="1F8E4BDE"/>
    <w:rsid w:val="1F92B048"/>
    <w:rsid w:val="20686BB6"/>
    <w:rsid w:val="211A541E"/>
    <w:rsid w:val="218BB458"/>
    <w:rsid w:val="21FAF691"/>
    <w:rsid w:val="22370875"/>
    <w:rsid w:val="22BEB2DD"/>
    <w:rsid w:val="230CF492"/>
    <w:rsid w:val="23C42037"/>
    <w:rsid w:val="23E86FC9"/>
    <w:rsid w:val="2415BAAA"/>
    <w:rsid w:val="2431B794"/>
    <w:rsid w:val="257BA3E4"/>
    <w:rsid w:val="259FBD32"/>
    <w:rsid w:val="25C9D87C"/>
    <w:rsid w:val="26343B1E"/>
    <w:rsid w:val="278C3F33"/>
    <w:rsid w:val="2C89020F"/>
    <w:rsid w:val="2CEFCAAD"/>
    <w:rsid w:val="2CF44C51"/>
    <w:rsid w:val="2D637100"/>
    <w:rsid w:val="2D6EA375"/>
    <w:rsid w:val="2DAACF17"/>
    <w:rsid w:val="2E11D70D"/>
    <w:rsid w:val="2E24A981"/>
    <w:rsid w:val="2EBF3FA3"/>
    <w:rsid w:val="2F2440EB"/>
    <w:rsid w:val="2F469F78"/>
    <w:rsid w:val="2F803FCD"/>
    <w:rsid w:val="3059E588"/>
    <w:rsid w:val="305C8644"/>
    <w:rsid w:val="31E7342F"/>
    <w:rsid w:val="33583815"/>
    <w:rsid w:val="344BD74F"/>
    <w:rsid w:val="3459EBCB"/>
    <w:rsid w:val="34F3DB65"/>
    <w:rsid w:val="3568D139"/>
    <w:rsid w:val="35BD8909"/>
    <w:rsid w:val="35DBBB41"/>
    <w:rsid w:val="36EE9C14"/>
    <w:rsid w:val="3701687E"/>
    <w:rsid w:val="37412D8F"/>
    <w:rsid w:val="379B24DC"/>
    <w:rsid w:val="37F6551E"/>
    <w:rsid w:val="3A593DE3"/>
    <w:rsid w:val="3A784F57"/>
    <w:rsid w:val="3A9951BA"/>
    <w:rsid w:val="3ABFFDAD"/>
    <w:rsid w:val="3B7389EE"/>
    <w:rsid w:val="3BBA4A32"/>
    <w:rsid w:val="3CFFBD16"/>
    <w:rsid w:val="3D23B7BF"/>
    <w:rsid w:val="3D24205E"/>
    <w:rsid w:val="3D614C52"/>
    <w:rsid w:val="3D85A4E7"/>
    <w:rsid w:val="3D8A0E5A"/>
    <w:rsid w:val="3DA80BE6"/>
    <w:rsid w:val="3F5D5644"/>
    <w:rsid w:val="407A9794"/>
    <w:rsid w:val="4235FE01"/>
    <w:rsid w:val="424E370B"/>
    <w:rsid w:val="427E43D1"/>
    <w:rsid w:val="436EFE9A"/>
    <w:rsid w:val="44FAD402"/>
    <w:rsid w:val="454EFDDD"/>
    <w:rsid w:val="471EB8E7"/>
    <w:rsid w:val="47CB1D52"/>
    <w:rsid w:val="481BD38A"/>
    <w:rsid w:val="48286F04"/>
    <w:rsid w:val="494251A2"/>
    <w:rsid w:val="49DE401E"/>
    <w:rsid w:val="4A0E2BDE"/>
    <w:rsid w:val="4A0E7B05"/>
    <w:rsid w:val="4A1A6196"/>
    <w:rsid w:val="4A5E32BA"/>
    <w:rsid w:val="4A77697B"/>
    <w:rsid w:val="4AA2B91F"/>
    <w:rsid w:val="4BE11875"/>
    <w:rsid w:val="4C022DC1"/>
    <w:rsid w:val="4C22B0EF"/>
    <w:rsid w:val="4C2838ED"/>
    <w:rsid w:val="4CEB820B"/>
    <w:rsid w:val="4D15E0E0"/>
    <w:rsid w:val="4EB5ED3A"/>
    <w:rsid w:val="4EED53B4"/>
    <w:rsid w:val="4F344C7D"/>
    <w:rsid w:val="4FA3C3F7"/>
    <w:rsid w:val="4FA8772B"/>
    <w:rsid w:val="515B67EC"/>
    <w:rsid w:val="5256936F"/>
    <w:rsid w:val="527D1EC4"/>
    <w:rsid w:val="54507DB0"/>
    <w:rsid w:val="54E048BD"/>
    <w:rsid w:val="556ED25E"/>
    <w:rsid w:val="559DC4A3"/>
    <w:rsid w:val="56367348"/>
    <w:rsid w:val="575DAD57"/>
    <w:rsid w:val="58A67320"/>
    <w:rsid w:val="590A2212"/>
    <w:rsid w:val="590B96A5"/>
    <w:rsid w:val="594C567A"/>
    <w:rsid w:val="595B6804"/>
    <w:rsid w:val="5AA5F273"/>
    <w:rsid w:val="5C0D0627"/>
    <w:rsid w:val="5CAE089B"/>
    <w:rsid w:val="5CB12A68"/>
    <w:rsid w:val="5D04986D"/>
    <w:rsid w:val="5E2B1685"/>
    <w:rsid w:val="5E6EF392"/>
    <w:rsid w:val="5E864047"/>
    <w:rsid w:val="5EC17EBB"/>
    <w:rsid w:val="5EEDB343"/>
    <w:rsid w:val="5FA923A9"/>
    <w:rsid w:val="601F5307"/>
    <w:rsid w:val="60C3003C"/>
    <w:rsid w:val="6183327B"/>
    <w:rsid w:val="61C10A2E"/>
    <w:rsid w:val="625FCDB8"/>
    <w:rsid w:val="628FC092"/>
    <w:rsid w:val="63B080F1"/>
    <w:rsid w:val="63D87044"/>
    <w:rsid w:val="65E7A485"/>
    <w:rsid w:val="65EA7912"/>
    <w:rsid w:val="663BC284"/>
    <w:rsid w:val="67586EDE"/>
    <w:rsid w:val="67AD8186"/>
    <w:rsid w:val="689AB19A"/>
    <w:rsid w:val="691038D0"/>
    <w:rsid w:val="696650BD"/>
    <w:rsid w:val="6AB358A0"/>
    <w:rsid w:val="6AC8F680"/>
    <w:rsid w:val="6B61F426"/>
    <w:rsid w:val="6C47077F"/>
    <w:rsid w:val="6CD439E2"/>
    <w:rsid w:val="6DEB002B"/>
    <w:rsid w:val="6E964352"/>
    <w:rsid w:val="6EC6362C"/>
    <w:rsid w:val="6F551B3D"/>
    <w:rsid w:val="6F6F6499"/>
    <w:rsid w:val="70CC4968"/>
    <w:rsid w:val="70FA6284"/>
    <w:rsid w:val="716A517B"/>
    <w:rsid w:val="72BAE103"/>
    <w:rsid w:val="733556D3"/>
    <w:rsid w:val="73B0CE0A"/>
    <w:rsid w:val="76307EF4"/>
    <w:rsid w:val="76AB1804"/>
    <w:rsid w:val="76D50465"/>
    <w:rsid w:val="77026F85"/>
    <w:rsid w:val="77A752C3"/>
    <w:rsid w:val="781D734E"/>
    <w:rsid w:val="784F854D"/>
    <w:rsid w:val="785150D7"/>
    <w:rsid w:val="792FFDD1"/>
    <w:rsid w:val="793FC582"/>
    <w:rsid w:val="799A364C"/>
    <w:rsid w:val="79AC55B0"/>
    <w:rsid w:val="79B42FF3"/>
    <w:rsid w:val="7A60D9BE"/>
    <w:rsid w:val="7A85F72F"/>
    <w:rsid w:val="7AEA0B3B"/>
    <w:rsid w:val="7B869B2E"/>
    <w:rsid w:val="7BABD408"/>
    <w:rsid w:val="7C50625E"/>
    <w:rsid w:val="7CD51406"/>
    <w:rsid w:val="7DAEB48D"/>
    <w:rsid w:val="7DD75C2C"/>
    <w:rsid w:val="7E0B0927"/>
    <w:rsid w:val="7E33B519"/>
    <w:rsid w:val="7EE08756"/>
    <w:rsid w:val="7F5CD60E"/>
    <w:rsid w:val="7FA37BA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6374D9"/>
  <w15:chartTrackingRefBased/>
  <w15:docId w15:val="{C3CDE956-F577-4C7B-B95F-250685E688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783F"/>
    <w:pPr>
      <w:spacing w:after="200" w:line="276" w:lineRule="auto"/>
    </w:pPr>
    <w:rPr>
      <w:rFonts w:ascii="Calibri" w:hAnsi="Calibri" w:eastAsia="Calibri" w:cs="Times New Roman"/>
    </w:rPr>
  </w:style>
  <w:style w:type="character" w:styleId="DefaultParagraphFont" w:default="1">
    <w:name w:val="Default Paragraph Font"/>
    <w:aliases w:val="Standaardalinea-lettertype"/>
    <w:uiPriority w:val="1"/>
    <w:semiHidden/>
    <w:unhideWhenUsed/>
  </w:style>
  <w:style w:type="table" w:styleId="TableNormal" w:default="1">
    <w:name w:val="Normal Table"/>
    <w:aliases w:val="Standaardtabel"/>
    <w:uiPriority w:val="99"/>
    <w:semiHidden/>
    <w:unhideWhenUsed/>
    <w:tblPr>
      <w:tblInd w:w="0" w:type="dxa"/>
      <w:tblCellMar>
        <w:top w:w="0" w:type="dxa"/>
        <w:left w:w="108" w:type="dxa"/>
        <w:bottom w:w="0" w:type="dxa"/>
        <w:right w:w="108" w:type="dxa"/>
      </w:tblCellMar>
    </w:tblPr>
  </w:style>
  <w:style w:type="numbering" w:styleId="NoList" w:default="1">
    <w:name w:val="No List"/>
    <w:aliases w:val="Geen lijst"/>
    <w:uiPriority w:val="99"/>
    <w:semiHidden/>
    <w:unhideWhenUsed/>
  </w:style>
  <w:style w:type="character" w:styleId="Hyperlink">
    <w:name w:val="Hyperlink"/>
    <w:uiPriority w:val="99"/>
    <w:unhideWhenUsed/>
    <w:rsid w:val="00FA783F"/>
    <w:rPr>
      <w:color w:val="0000FF"/>
      <w:u w:val="single"/>
    </w:rPr>
  </w:style>
  <w:style w:type="paragraph" w:styleId="FootnoteText">
    <w:name w:val="footnote text"/>
    <w:basedOn w:val="Normal"/>
    <w:link w:val="FootnoteTextChar"/>
    <w:uiPriority w:val="99"/>
    <w:semiHidden/>
    <w:unhideWhenUsed/>
    <w:rsid w:val="00FA783F"/>
    <w:pPr>
      <w:spacing w:after="0" w:line="240" w:lineRule="auto"/>
    </w:pPr>
    <w:rPr>
      <w:sz w:val="20"/>
      <w:szCs w:val="20"/>
      <w:lang w:val="x-none" w:eastAsia="x-none"/>
    </w:rPr>
  </w:style>
  <w:style w:type="character" w:styleId="FootnoteTextChar" w:customStyle="1">
    <w:name w:val="Footnote Text Char"/>
    <w:basedOn w:val="DefaultParagraphFont"/>
    <w:link w:val="FootnoteText"/>
    <w:uiPriority w:val="99"/>
    <w:semiHidden/>
    <w:rsid w:val="00FA783F"/>
    <w:rPr>
      <w:rFonts w:ascii="Calibri" w:hAnsi="Calibri" w:eastAsia="Calibri" w:cs="Times New Roman"/>
      <w:sz w:val="20"/>
      <w:szCs w:val="20"/>
      <w:lang w:val="x-none" w:eastAsia="x-none"/>
    </w:rPr>
  </w:style>
  <w:style w:type="character" w:styleId="FootnoteReference">
    <w:name w:val="footnote reference"/>
    <w:uiPriority w:val="99"/>
    <w:semiHidden/>
    <w:unhideWhenUsed/>
    <w:rsid w:val="00FA783F"/>
    <w:rPr>
      <w:vertAlign w:val="superscript"/>
    </w:rPr>
  </w:style>
  <w:style w:type="paragraph" w:styleId="Header">
    <w:name w:val="header"/>
    <w:basedOn w:val="Normal"/>
    <w:link w:val="HeaderChar"/>
    <w:uiPriority w:val="99"/>
    <w:unhideWhenUsed/>
    <w:rsid w:val="00AD5815"/>
    <w:pPr>
      <w:tabs>
        <w:tab w:val="center" w:pos="4513"/>
        <w:tab w:val="right" w:pos="9026"/>
      </w:tabs>
      <w:spacing w:after="0" w:line="240" w:lineRule="auto"/>
    </w:pPr>
  </w:style>
  <w:style w:type="character" w:styleId="HeaderChar" w:customStyle="1">
    <w:name w:val="Header Char"/>
    <w:basedOn w:val="DefaultParagraphFont"/>
    <w:link w:val="Header"/>
    <w:uiPriority w:val="99"/>
    <w:rsid w:val="00AD5815"/>
    <w:rPr>
      <w:rFonts w:ascii="Calibri" w:hAnsi="Calibri" w:eastAsia="Calibri" w:cs="Times New Roman"/>
    </w:rPr>
  </w:style>
  <w:style w:type="paragraph" w:styleId="Footer">
    <w:name w:val="footer"/>
    <w:basedOn w:val="Normal"/>
    <w:link w:val="FooterChar"/>
    <w:uiPriority w:val="99"/>
    <w:unhideWhenUsed/>
    <w:rsid w:val="00AD5815"/>
    <w:pPr>
      <w:tabs>
        <w:tab w:val="center" w:pos="4513"/>
        <w:tab w:val="right" w:pos="9026"/>
      </w:tabs>
      <w:spacing w:after="0" w:line="240" w:lineRule="auto"/>
    </w:pPr>
  </w:style>
  <w:style w:type="character" w:styleId="FooterChar" w:customStyle="1">
    <w:name w:val="Footer Char"/>
    <w:basedOn w:val="DefaultParagraphFont"/>
    <w:link w:val="Footer"/>
    <w:uiPriority w:val="99"/>
    <w:rsid w:val="00AD5815"/>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2C704D6A7E3E47A80AA29668777128" ma:contentTypeVersion="17" ma:contentTypeDescription="Create a new document." ma:contentTypeScope="" ma:versionID="8b25a2ce7bf28bd25e8b6690a9acc97b">
  <xsd:schema xmlns:xsd="http://www.w3.org/2001/XMLSchema" xmlns:xs="http://www.w3.org/2001/XMLSchema" xmlns:p="http://schemas.microsoft.com/office/2006/metadata/properties" xmlns:ns2="ca6fad2e-ef2c-43e4-ae6a-f29a50dd4aa0" xmlns:ns3="09249bc9-dd6e-4078-8703-4e5804178333" targetNamespace="http://schemas.microsoft.com/office/2006/metadata/properties" ma:root="true" ma:fieldsID="bc1e3d9eab4ae25ede9c0b409b2af062" ns2:_="" ns3:_="">
    <xsd:import namespace="ca6fad2e-ef2c-43e4-ae6a-f29a50dd4aa0"/>
    <xsd:import namespace="09249bc9-dd6e-4078-8703-4e58041783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ad2e-ef2c-43e4-ae6a-f29a50dd4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168bf0-f213-4887-af2e-cac682fa2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49bc9-dd6e-4078-8703-4e58041783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70f4b8-ba95-4cd7-8f5f-606f615e415b}" ma:internalName="TaxCatchAll" ma:showField="CatchAllData" ma:web="09249bc9-dd6e-4078-8703-4e58041783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TaxCatchAll xmlns="09249bc9-dd6e-4078-8703-4e5804178333" xsi:nil="true"/>
    <lcf76f155ced4ddcb4097134ff3c332f xmlns="ca6fad2e-ef2c-43e4-ae6a-f29a50dd4a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8F4A13-D321-4DCC-8E37-B84CB4132789}">
  <ds:schemaRefs>
    <ds:schemaRef ds:uri="http://schemas.microsoft.com/sharepoint/v3/contenttype/forms"/>
  </ds:schemaRefs>
</ds:datastoreItem>
</file>

<file path=customXml/itemProps2.xml><?xml version="1.0" encoding="utf-8"?>
<ds:datastoreItem xmlns:ds="http://schemas.openxmlformats.org/officeDocument/2006/customXml" ds:itemID="{221E536B-4EC9-47DD-84DF-5806EFB1F588}"/>
</file>

<file path=customXml/itemProps3.xml><?xml version="1.0" encoding="utf-8"?>
<ds:datastoreItem xmlns:ds="http://schemas.openxmlformats.org/officeDocument/2006/customXml" ds:itemID="{91B9BB41-6D5A-4F0E-A9C7-30DDA8AC1204}">
  <ds:schemaRefs>
    <ds:schemaRef ds:uri="http://schemas.openxmlformats.org/officeDocument/2006/bibliography"/>
  </ds:schemaRefs>
</ds:datastoreItem>
</file>

<file path=customXml/itemProps4.xml><?xml version="1.0" encoding="utf-8"?>
<ds:datastoreItem xmlns:ds="http://schemas.openxmlformats.org/officeDocument/2006/customXml" ds:itemID="{B29AE407-42E5-4F06-A287-E095968BD430}">
  <ds:schemaRefs>
    <ds:schemaRef ds:uri="http://schemas.microsoft.com/office/2006/documentManagement/types"/>
    <ds:schemaRef ds:uri="ca6fad2e-ef2c-43e4-ae6a-f29a50dd4aa0"/>
    <ds:schemaRef ds:uri="http://www.w3.org/XML/1998/namespace"/>
    <ds:schemaRef ds:uri="http://schemas.microsoft.com/office/2006/metadata/properties"/>
    <ds:schemaRef ds:uri="09249bc9-dd6e-4078-8703-4e5804178333"/>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Lumley</dc:creator>
  <cp:keywords/>
  <dc:description/>
  <cp:lastModifiedBy>Cecily Giles</cp:lastModifiedBy>
  <cp:revision>24</cp:revision>
  <dcterms:created xsi:type="dcterms:W3CDTF">2022-05-17T14:38:00Z</dcterms:created>
  <dcterms:modified xsi:type="dcterms:W3CDTF">2022-11-01T11:32:54Z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0x010100A12C704D6A7E3E47A80AA29668777128</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 TU Dublin General Circulation Only</vt:lpwstr>
  </property>
  <property fmtid="{D5CDD505-2E9C-101B-9397-08002B2CF9AE}" pid="6" name="MSIP_Label_253a3fe7-cfce-46f0-8750-e01b15e1dad2_Enabled">
    <vt:lpwstr>true</vt:lpwstr>
  </property>
  <property fmtid="{D5CDD505-2E9C-101B-9397-08002B2CF9AE}" pid="7" name="MSIP_Label_253a3fe7-cfce-46f0-8750-e01b15e1dad2_SetDate">
    <vt:lpwstr>2022-05-17T14:38:18Z</vt:lpwstr>
  </property>
  <property fmtid="{D5CDD505-2E9C-101B-9397-08002B2CF9AE}" pid="8" name="MSIP_Label_253a3fe7-cfce-46f0-8750-e01b15e1dad2_Method">
    <vt:lpwstr>Standard</vt:lpwstr>
  </property>
  <property fmtid="{D5CDD505-2E9C-101B-9397-08002B2CF9AE}" pid="9" name="MSIP_Label_253a3fe7-cfce-46f0-8750-e01b15e1dad2_Name">
    <vt:lpwstr>TUD Private – Internal (Medium)</vt:lpwstr>
  </property>
  <property fmtid="{D5CDD505-2E9C-101B-9397-08002B2CF9AE}" pid="10" name="MSIP_Label_253a3fe7-cfce-46f0-8750-e01b15e1dad2_SiteId">
    <vt:lpwstr>766317cb-e948-4e5f-8cec-dabc8e2fd5da</vt:lpwstr>
  </property>
  <property fmtid="{D5CDD505-2E9C-101B-9397-08002B2CF9AE}" pid="11" name="MSIP_Label_253a3fe7-cfce-46f0-8750-e01b15e1dad2_ActionId">
    <vt:lpwstr>cb7f6f5a-3b9f-483e-b489-e5e16f9364ae</vt:lpwstr>
  </property>
  <property fmtid="{D5CDD505-2E9C-101B-9397-08002B2CF9AE}" pid="12" name="MSIP_Label_253a3fe7-cfce-46f0-8750-e01b15e1dad2_ContentBits">
    <vt:lpwstr>2</vt:lpwstr>
  </property>
  <property fmtid="{D5CDD505-2E9C-101B-9397-08002B2CF9AE}" pid="13" name="MediaServiceImageTags">
    <vt:lpwstr/>
  </property>
</Properties>
</file>